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655A" w14:textId="77777777" w:rsidR="00E858FB" w:rsidRDefault="00E858FB" w:rsidP="00177F15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5F0C225D" w14:textId="77777777" w:rsidR="00177F15" w:rsidRDefault="00177F15" w:rsidP="00177F15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651F3736" w14:textId="77777777" w:rsidR="00177F15" w:rsidRDefault="00177F15" w:rsidP="00177F15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62BDC07A" w14:textId="065631D9" w:rsidR="00BE799D" w:rsidRDefault="00E21058" w:rsidP="00177F15">
      <w:pPr>
        <w:spacing w:after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March</w:t>
      </w:r>
      <w:r w:rsidR="00BE799D">
        <w:rPr>
          <w:rFonts w:asciiTheme="majorHAnsi" w:hAnsiTheme="majorHAnsi"/>
          <w:b/>
          <w:sz w:val="22"/>
          <w:szCs w:val="22"/>
        </w:rPr>
        <w:t xml:space="preserve"> 2022</w:t>
      </w:r>
    </w:p>
    <w:p w14:paraId="75E7457F" w14:textId="79960AB9" w:rsidR="00BE799D" w:rsidRDefault="00BE799D" w:rsidP="00177F15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0C2661EE" w14:textId="77777777" w:rsidR="00177F15" w:rsidRDefault="00177F15" w:rsidP="00177F15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03B20213" w14:textId="77777777" w:rsidR="00BE799D" w:rsidRDefault="00BE799D" w:rsidP="00177F15">
      <w:pPr>
        <w:spacing w:after="0"/>
        <w:rPr>
          <w:rFonts w:asciiTheme="majorHAnsi" w:hAnsiTheme="majorHAnsi"/>
          <w:b/>
          <w:sz w:val="22"/>
          <w:szCs w:val="22"/>
        </w:rPr>
      </w:pPr>
    </w:p>
    <w:p w14:paraId="7D21320B" w14:textId="163B1469" w:rsidR="00BE799D" w:rsidRDefault="00BE799D" w:rsidP="00177F15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A5C6E">
        <w:rPr>
          <w:rFonts w:asciiTheme="majorHAnsi" w:hAnsiTheme="majorHAnsi" w:cstheme="majorHAnsi"/>
          <w:b/>
          <w:bCs/>
          <w:sz w:val="22"/>
          <w:szCs w:val="22"/>
        </w:rPr>
        <w:t xml:space="preserve">Teleaudiology – </w:t>
      </w:r>
      <w:r w:rsidR="00101F1C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DA5C6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E510A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Pr="00DA5C6E">
        <w:rPr>
          <w:rFonts w:asciiTheme="majorHAnsi" w:hAnsiTheme="majorHAnsi" w:cstheme="majorHAnsi"/>
          <w:b/>
          <w:bCs/>
          <w:sz w:val="22"/>
          <w:szCs w:val="22"/>
        </w:rPr>
        <w:t xml:space="preserve">ervice </w:t>
      </w:r>
      <w:r w:rsidR="00BE510A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DA5C6E">
        <w:rPr>
          <w:rFonts w:asciiTheme="majorHAnsi" w:hAnsiTheme="majorHAnsi" w:cstheme="majorHAnsi"/>
          <w:b/>
          <w:bCs/>
          <w:sz w:val="22"/>
          <w:szCs w:val="22"/>
        </w:rPr>
        <w:t xml:space="preserve">elivery </w:t>
      </w:r>
      <w:r w:rsidR="00BE510A">
        <w:rPr>
          <w:rFonts w:asciiTheme="majorHAnsi" w:hAnsiTheme="majorHAnsi" w:cstheme="majorHAnsi"/>
          <w:b/>
          <w:bCs/>
          <w:sz w:val="22"/>
          <w:szCs w:val="22"/>
        </w:rPr>
        <w:t>t</w:t>
      </w:r>
      <w:r w:rsidRPr="00DA5C6E">
        <w:rPr>
          <w:rFonts w:asciiTheme="majorHAnsi" w:hAnsiTheme="majorHAnsi" w:cstheme="majorHAnsi"/>
          <w:b/>
          <w:bCs/>
          <w:sz w:val="22"/>
          <w:szCs w:val="22"/>
        </w:rPr>
        <w:t>ool</w:t>
      </w:r>
    </w:p>
    <w:p w14:paraId="3B0F350F" w14:textId="77777777" w:rsidR="00177F15" w:rsidRDefault="00177F15" w:rsidP="00177F15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9391AF8" w14:textId="77777777" w:rsidR="00BE799D" w:rsidRDefault="00BE799D" w:rsidP="00177F15">
      <w:pPr>
        <w:spacing w:after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5473001" w14:textId="61227C14" w:rsidR="00BE799D" w:rsidRDefault="00BE799D" w:rsidP="00177F15">
      <w:pPr>
        <w:spacing w:after="0"/>
        <w:rPr>
          <w:rFonts w:asciiTheme="majorHAnsi" w:eastAsia="Times New Roman" w:hAnsiTheme="majorHAnsi" w:cstheme="majorHAnsi"/>
          <w:i/>
          <w:iCs/>
          <w:sz w:val="22"/>
          <w:szCs w:val="22"/>
          <w:lang w:val="en-AU" w:eastAsia="en-GB"/>
        </w:rPr>
      </w:pPr>
      <w:r w:rsidRPr="00651982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Author:  </w:t>
      </w:r>
      <w:r w:rsidRPr="00651982">
        <w:rPr>
          <w:rFonts w:asciiTheme="majorHAnsi" w:eastAsia="Times New Roman" w:hAnsiTheme="majorHAnsi" w:cstheme="majorHAnsi"/>
          <w:i/>
          <w:iCs/>
          <w:sz w:val="22"/>
          <w:szCs w:val="22"/>
          <w:lang w:val="en-AU" w:eastAsia="en-GB"/>
        </w:rPr>
        <w:t xml:space="preserve">Frances Lockhart is an Audiologist and </w:t>
      </w:r>
      <w:r w:rsidR="00131769">
        <w:rPr>
          <w:rFonts w:asciiTheme="majorHAnsi" w:eastAsia="Times New Roman" w:hAnsiTheme="majorHAnsi" w:cstheme="majorHAnsi"/>
          <w:i/>
          <w:iCs/>
          <w:sz w:val="22"/>
          <w:szCs w:val="22"/>
          <w:lang w:val="en-AU" w:eastAsia="en-GB"/>
        </w:rPr>
        <w:t xml:space="preserve">teleaudiology </w:t>
      </w:r>
      <w:r w:rsidRPr="00651982">
        <w:rPr>
          <w:rFonts w:asciiTheme="majorHAnsi" w:eastAsia="Times New Roman" w:hAnsiTheme="majorHAnsi" w:cstheme="majorHAnsi"/>
          <w:i/>
          <w:iCs/>
          <w:sz w:val="22"/>
          <w:szCs w:val="22"/>
          <w:lang w:val="en-AU" w:eastAsia="en-GB"/>
        </w:rPr>
        <w:t>subject matter expert</w:t>
      </w:r>
      <w:r w:rsidR="00131769">
        <w:rPr>
          <w:rFonts w:asciiTheme="majorHAnsi" w:eastAsia="Times New Roman" w:hAnsiTheme="majorHAnsi" w:cstheme="majorHAnsi"/>
          <w:i/>
          <w:iCs/>
          <w:sz w:val="22"/>
          <w:szCs w:val="22"/>
          <w:lang w:val="en-AU" w:eastAsia="en-GB"/>
        </w:rPr>
        <w:t>.  She</w:t>
      </w:r>
      <w:r w:rsidR="00262F4C">
        <w:rPr>
          <w:rFonts w:asciiTheme="majorHAnsi" w:eastAsia="Times New Roman" w:hAnsiTheme="majorHAnsi" w:cstheme="majorHAnsi"/>
          <w:i/>
          <w:iCs/>
          <w:sz w:val="22"/>
          <w:szCs w:val="22"/>
          <w:lang w:val="en-AU" w:eastAsia="en-GB"/>
        </w:rPr>
        <w:t xml:space="preserve"> </w:t>
      </w:r>
      <w:r w:rsidRPr="00651982">
        <w:rPr>
          <w:rFonts w:asciiTheme="majorHAnsi" w:eastAsia="Times New Roman" w:hAnsiTheme="majorHAnsi" w:cstheme="majorHAnsi"/>
          <w:i/>
          <w:iCs/>
          <w:sz w:val="22"/>
          <w:szCs w:val="22"/>
          <w:lang w:val="en-AU" w:eastAsia="en-GB"/>
        </w:rPr>
        <w:t xml:space="preserve">represents Audiology Australia on the Teleaudiology Guidelines Working Group. </w:t>
      </w:r>
    </w:p>
    <w:p w14:paraId="6BB9938B" w14:textId="77777777" w:rsidR="00177F15" w:rsidRPr="00651982" w:rsidRDefault="00177F15" w:rsidP="00177F15">
      <w:pPr>
        <w:spacing w:after="0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7B5F8365" w14:textId="77777777" w:rsidR="00BE799D" w:rsidRDefault="00BE799D" w:rsidP="00177F15">
      <w:pPr>
        <w:spacing w:after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C2E4E8C" w14:textId="02FEF392" w:rsidR="007C3491" w:rsidRDefault="00F53551" w:rsidP="00177F15">
      <w:pPr>
        <w:spacing w:after="0"/>
        <w:rPr>
          <w:rFonts w:asciiTheme="majorHAnsi" w:hAnsiTheme="majorHAnsi" w:cstheme="majorHAnsi"/>
          <w:b/>
          <w:bCs/>
          <w:sz w:val="22"/>
          <w:szCs w:val="22"/>
        </w:rPr>
      </w:pPr>
      <w:r w:rsidRPr="00D53409">
        <w:rPr>
          <w:rFonts w:asciiTheme="majorHAnsi" w:hAnsiTheme="majorHAnsi" w:cstheme="majorHAnsi"/>
          <w:b/>
          <w:bCs/>
          <w:sz w:val="22"/>
          <w:szCs w:val="22"/>
        </w:rPr>
        <w:t xml:space="preserve">Teleaudiology </w:t>
      </w:r>
      <w:r w:rsidR="007C3491">
        <w:rPr>
          <w:rFonts w:asciiTheme="majorHAnsi" w:hAnsiTheme="majorHAnsi" w:cstheme="majorHAnsi"/>
          <w:b/>
          <w:bCs/>
          <w:sz w:val="22"/>
          <w:szCs w:val="22"/>
        </w:rPr>
        <w:t>compl</w:t>
      </w:r>
      <w:r w:rsidR="007A604A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7C3491">
        <w:rPr>
          <w:rFonts w:asciiTheme="majorHAnsi" w:hAnsiTheme="majorHAnsi" w:cstheme="majorHAnsi"/>
          <w:b/>
          <w:bCs/>
          <w:sz w:val="22"/>
          <w:szCs w:val="22"/>
        </w:rPr>
        <w:t>ment</w:t>
      </w:r>
      <w:r w:rsidR="002042FD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7C3491">
        <w:rPr>
          <w:rFonts w:asciiTheme="majorHAnsi" w:hAnsiTheme="majorHAnsi" w:cstheme="majorHAnsi"/>
          <w:b/>
          <w:bCs/>
          <w:sz w:val="22"/>
          <w:szCs w:val="22"/>
        </w:rPr>
        <w:t xml:space="preserve"> in-person service delivery</w:t>
      </w:r>
    </w:p>
    <w:p w14:paraId="4AD11AC7" w14:textId="371F2E04" w:rsidR="007C3491" w:rsidRDefault="00131769" w:rsidP="00177F15">
      <w:pPr>
        <w:spacing w:after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</w:t>
      </w:r>
      <w:r w:rsidR="00651B36" w:rsidRPr="002D4097">
        <w:rPr>
          <w:rFonts w:asciiTheme="majorHAnsi" w:hAnsiTheme="majorHAnsi" w:cstheme="majorHAnsi"/>
          <w:bCs/>
          <w:sz w:val="22"/>
          <w:szCs w:val="22"/>
        </w:rPr>
        <w:t>ele</w:t>
      </w:r>
      <w:r w:rsidR="0023468D" w:rsidRPr="002D4097">
        <w:rPr>
          <w:rFonts w:asciiTheme="majorHAnsi" w:hAnsiTheme="majorHAnsi" w:cstheme="majorHAnsi"/>
          <w:bCs/>
          <w:sz w:val="22"/>
          <w:szCs w:val="22"/>
        </w:rPr>
        <w:t>audiology</w:t>
      </w:r>
      <w:r w:rsidR="00651B36" w:rsidRPr="002D409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C1C0D" w:rsidRPr="002D4097">
        <w:rPr>
          <w:rFonts w:asciiTheme="majorHAnsi" w:hAnsiTheme="majorHAnsi" w:cstheme="majorHAnsi"/>
          <w:bCs/>
          <w:sz w:val="22"/>
          <w:szCs w:val="22"/>
        </w:rPr>
        <w:t>ha</w:t>
      </w:r>
      <w:r>
        <w:rPr>
          <w:rFonts w:asciiTheme="majorHAnsi" w:hAnsiTheme="majorHAnsi" w:cstheme="majorHAnsi"/>
          <w:bCs/>
          <w:sz w:val="22"/>
          <w:szCs w:val="22"/>
        </w:rPr>
        <w:t>s</w:t>
      </w:r>
      <w:r w:rsidR="007C1C0D" w:rsidRPr="002D4097">
        <w:rPr>
          <w:rFonts w:asciiTheme="majorHAnsi" w:hAnsiTheme="majorHAnsi" w:cstheme="majorHAnsi"/>
          <w:bCs/>
          <w:sz w:val="22"/>
          <w:szCs w:val="22"/>
        </w:rPr>
        <w:t xml:space="preserve"> a role to play in </w:t>
      </w:r>
      <w:r w:rsidR="00B2561A">
        <w:rPr>
          <w:rFonts w:asciiTheme="majorHAnsi" w:hAnsiTheme="majorHAnsi" w:cstheme="majorHAnsi"/>
          <w:bCs/>
          <w:sz w:val="22"/>
          <w:szCs w:val="22"/>
        </w:rPr>
        <w:t xml:space="preserve">expanding options to ensure </w:t>
      </w:r>
      <w:r w:rsidR="007C1C0D" w:rsidRPr="002D4097">
        <w:rPr>
          <w:rFonts w:asciiTheme="majorHAnsi" w:hAnsiTheme="majorHAnsi" w:cstheme="majorHAnsi"/>
          <w:bCs/>
          <w:sz w:val="22"/>
          <w:szCs w:val="22"/>
        </w:rPr>
        <w:t>equity of service</w:t>
      </w:r>
      <w:r w:rsidR="00B2561A">
        <w:rPr>
          <w:rFonts w:asciiTheme="majorHAnsi" w:hAnsiTheme="majorHAnsi" w:cstheme="majorHAnsi"/>
          <w:bCs/>
          <w:sz w:val="22"/>
          <w:szCs w:val="22"/>
        </w:rPr>
        <w:t>, particularly for</w:t>
      </w:r>
      <w:r w:rsidR="007C1C0D" w:rsidRPr="002D409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754D8" w:rsidRPr="002D4097">
        <w:rPr>
          <w:rFonts w:asciiTheme="majorHAnsi" w:hAnsiTheme="majorHAnsi" w:cstheme="majorHAnsi"/>
          <w:bCs/>
          <w:sz w:val="22"/>
          <w:szCs w:val="22"/>
        </w:rPr>
        <w:t>clients</w:t>
      </w:r>
      <w:r w:rsidR="007C1C0D" w:rsidRPr="002D409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2561A">
        <w:rPr>
          <w:rFonts w:asciiTheme="majorHAnsi" w:hAnsiTheme="majorHAnsi" w:cstheme="majorHAnsi"/>
          <w:bCs/>
          <w:sz w:val="22"/>
          <w:szCs w:val="22"/>
        </w:rPr>
        <w:t xml:space="preserve">with </w:t>
      </w:r>
      <w:r w:rsidR="003754D8" w:rsidRPr="002D4097">
        <w:rPr>
          <w:rFonts w:asciiTheme="majorHAnsi" w:hAnsiTheme="majorHAnsi" w:cstheme="majorHAnsi"/>
          <w:bCs/>
          <w:sz w:val="22"/>
          <w:szCs w:val="22"/>
        </w:rPr>
        <w:t xml:space="preserve">limited time, transport </w:t>
      </w:r>
      <w:r w:rsidR="00DC152F">
        <w:rPr>
          <w:rFonts w:asciiTheme="majorHAnsi" w:hAnsiTheme="majorHAnsi" w:cstheme="majorHAnsi"/>
          <w:bCs/>
          <w:sz w:val="22"/>
          <w:szCs w:val="22"/>
        </w:rPr>
        <w:t>challenges</w:t>
      </w:r>
      <w:r w:rsidR="00DC152F" w:rsidRPr="002D409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754D8" w:rsidRPr="002D4097">
        <w:rPr>
          <w:rFonts w:asciiTheme="majorHAnsi" w:hAnsiTheme="majorHAnsi" w:cstheme="majorHAnsi"/>
          <w:bCs/>
          <w:sz w:val="22"/>
          <w:szCs w:val="22"/>
        </w:rPr>
        <w:t xml:space="preserve">or </w:t>
      </w:r>
      <w:r w:rsidR="00DC152F">
        <w:rPr>
          <w:rFonts w:asciiTheme="majorHAnsi" w:hAnsiTheme="majorHAnsi" w:cstheme="majorHAnsi"/>
          <w:bCs/>
          <w:sz w:val="22"/>
          <w:szCs w:val="22"/>
        </w:rPr>
        <w:t xml:space="preserve">the </w:t>
      </w:r>
      <w:r w:rsidR="003754D8" w:rsidRPr="002D4097">
        <w:rPr>
          <w:rFonts w:asciiTheme="majorHAnsi" w:hAnsiTheme="majorHAnsi" w:cstheme="majorHAnsi"/>
          <w:bCs/>
          <w:sz w:val="22"/>
          <w:szCs w:val="22"/>
        </w:rPr>
        <w:t>ability to attend</w:t>
      </w:r>
      <w:r>
        <w:rPr>
          <w:rFonts w:asciiTheme="majorHAnsi" w:hAnsiTheme="majorHAnsi" w:cstheme="majorHAnsi"/>
          <w:bCs/>
          <w:sz w:val="22"/>
          <w:szCs w:val="22"/>
        </w:rPr>
        <w:t xml:space="preserve"> an appointment</w:t>
      </w:r>
      <w:r w:rsidR="009602F9" w:rsidRPr="002D4097">
        <w:rPr>
          <w:rFonts w:asciiTheme="majorHAnsi" w:hAnsiTheme="majorHAnsi" w:cstheme="majorHAnsi"/>
          <w:bCs/>
          <w:sz w:val="22"/>
          <w:szCs w:val="22"/>
        </w:rPr>
        <w:t>.</w:t>
      </w:r>
      <w:r w:rsidR="00CD6D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C152F">
        <w:rPr>
          <w:rFonts w:asciiTheme="majorHAnsi" w:hAnsiTheme="majorHAnsi" w:cstheme="majorHAnsi"/>
          <w:bCs/>
          <w:sz w:val="22"/>
          <w:szCs w:val="22"/>
        </w:rPr>
        <w:t>T</w:t>
      </w:r>
      <w:r w:rsidR="00B2561A">
        <w:rPr>
          <w:rFonts w:asciiTheme="majorHAnsi" w:hAnsiTheme="majorHAnsi" w:cstheme="majorHAnsi"/>
          <w:bCs/>
          <w:sz w:val="22"/>
          <w:szCs w:val="22"/>
        </w:rPr>
        <w:t xml:space="preserve">eleaudiology </w:t>
      </w:r>
      <w:r w:rsidR="00DC152F">
        <w:rPr>
          <w:rFonts w:asciiTheme="majorHAnsi" w:hAnsiTheme="majorHAnsi" w:cstheme="majorHAnsi"/>
          <w:bCs/>
          <w:sz w:val="22"/>
          <w:szCs w:val="22"/>
        </w:rPr>
        <w:t>offers</w:t>
      </w:r>
      <w:r w:rsidR="00B2561A">
        <w:rPr>
          <w:rFonts w:asciiTheme="majorHAnsi" w:hAnsiTheme="majorHAnsi" w:cstheme="majorHAnsi"/>
          <w:bCs/>
          <w:sz w:val="22"/>
          <w:szCs w:val="22"/>
        </w:rPr>
        <w:t xml:space="preserve"> clients </w:t>
      </w:r>
      <w:r w:rsidR="00DC152F">
        <w:rPr>
          <w:rFonts w:asciiTheme="majorHAnsi" w:hAnsiTheme="majorHAnsi" w:cstheme="majorHAnsi"/>
          <w:bCs/>
          <w:sz w:val="22"/>
          <w:szCs w:val="22"/>
        </w:rPr>
        <w:t xml:space="preserve">a way to </w:t>
      </w:r>
      <w:r w:rsidR="00B2561A">
        <w:rPr>
          <w:rFonts w:asciiTheme="majorHAnsi" w:hAnsiTheme="majorHAnsi" w:cstheme="majorHAnsi"/>
          <w:bCs/>
          <w:sz w:val="22"/>
          <w:szCs w:val="22"/>
        </w:rPr>
        <w:t>access services from wherever they are</w:t>
      </w:r>
      <w:r w:rsidR="00DC152F">
        <w:rPr>
          <w:rFonts w:asciiTheme="majorHAnsi" w:hAnsiTheme="majorHAnsi" w:cstheme="majorHAnsi"/>
          <w:bCs/>
          <w:sz w:val="22"/>
          <w:szCs w:val="22"/>
        </w:rPr>
        <w:t>,</w:t>
      </w:r>
      <w:r w:rsidR="00B2561A">
        <w:rPr>
          <w:rFonts w:asciiTheme="majorHAnsi" w:hAnsiTheme="majorHAnsi" w:cstheme="majorHAnsi"/>
          <w:bCs/>
          <w:sz w:val="22"/>
          <w:szCs w:val="22"/>
        </w:rPr>
        <w:t xml:space="preserve"> at a time that suits them.</w:t>
      </w:r>
      <w:r w:rsidR="009602F9" w:rsidRPr="002D409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3754D8" w:rsidRPr="002D4097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0C7C9023" w14:textId="77777777" w:rsidR="00DC152F" w:rsidRDefault="00DC152F" w:rsidP="00177F15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2026EB8C" w14:textId="10CE685A" w:rsidR="00BF591E" w:rsidRDefault="00B2561A" w:rsidP="00BF591E">
      <w:pPr>
        <w:spacing w:after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Client</w:t>
      </w:r>
      <w:r w:rsidR="00CD6DBA">
        <w:rPr>
          <w:rFonts w:asciiTheme="majorHAnsi" w:hAnsiTheme="majorHAnsi" w:cstheme="majorHAnsi"/>
          <w:bCs/>
          <w:sz w:val="22"/>
          <w:szCs w:val="22"/>
        </w:rPr>
        <w:t>-c</w:t>
      </w:r>
      <w:r>
        <w:rPr>
          <w:rFonts w:asciiTheme="majorHAnsi" w:hAnsiTheme="majorHAnsi" w:cstheme="majorHAnsi"/>
          <w:bCs/>
          <w:sz w:val="22"/>
          <w:szCs w:val="22"/>
        </w:rPr>
        <w:t xml:space="preserve">entred hearing health means empowering clients to </w:t>
      </w:r>
      <w:r w:rsidR="00DC152F">
        <w:rPr>
          <w:rFonts w:asciiTheme="majorHAnsi" w:hAnsiTheme="majorHAnsi" w:cstheme="majorHAnsi"/>
          <w:bCs/>
          <w:sz w:val="22"/>
          <w:szCs w:val="22"/>
        </w:rPr>
        <w:t>exercise choice</w:t>
      </w:r>
      <w:r>
        <w:rPr>
          <w:rFonts w:asciiTheme="majorHAnsi" w:hAnsiTheme="majorHAnsi" w:cstheme="majorHAnsi"/>
          <w:bCs/>
          <w:sz w:val="22"/>
          <w:szCs w:val="22"/>
        </w:rPr>
        <w:t xml:space="preserve"> and tailoring services to their individual needs and circumstances. </w:t>
      </w:r>
      <w:r w:rsidR="00BF591E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4B301BD4" w14:textId="77777777" w:rsidR="00CD6DBA" w:rsidRDefault="00CD6DBA" w:rsidP="00BF591E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4423F542" w14:textId="2100EB9B" w:rsidR="00BF591E" w:rsidRDefault="00B2561A" w:rsidP="00BF591E">
      <w:pPr>
        <w:spacing w:after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Teleaudiology offers practitioners </w:t>
      </w:r>
      <w:r w:rsidR="00BF591E">
        <w:rPr>
          <w:rFonts w:asciiTheme="majorHAnsi" w:hAnsiTheme="majorHAnsi" w:cstheme="majorHAnsi"/>
          <w:bCs/>
          <w:sz w:val="22"/>
          <w:szCs w:val="22"/>
        </w:rPr>
        <w:t xml:space="preserve">and providers </w:t>
      </w:r>
      <w:r>
        <w:rPr>
          <w:rFonts w:asciiTheme="majorHAnsi" w:hAnsiTheme="majorHAnsi" w:cstheme="majorHAnsi"/>
          <w:bCs/>
          <w:sz w:val="22"/>
          <w:szCs w:val="22"/>
        </w:rPr>
        <w:t>a powerful platform to expand the options available to their clients</w:t>
      </w:r>
      <w:r w:rsidR="00BF591E">
        <w:rPr>
          <w:rFonts w:asciiTheme="majorHAnsi" w:hAnsiTheme="majorHAnsi" w:cstheme="majorHAnsi"/>
          <w:bCs/>
          <w:sz w:val="22"/>
          <w:szCs w:val="22"/>
        </w:rPr>
        <w:t xml:space="preserve"> and offer services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F591E">
        <w:rPr>
          <w:rFonts w:asciiTheme="majorHAnsi" w:hAnsiTheme="majorHAnsi" w:cstheme="majorHAnsi"/>
          <w:bCs/>
          <w:sz w:val="22"/>
          <w:szCs w:val="22"/>
        </w:rPr>
        <w:t xml:space="preserve">to </w:t>
      </w:r>
      <w:r w:rsidR="00BF591E" w:rsidRPr="002D4097">
        <w:rPr>
          <w:rFonts w:asciiTheme="majorHAnsi" w:hAnsiTheme="majorHAnsi" w:cstheme="majorHAnsi"/>
          <w:bCs/>
          <w:sz w:val="22"/>
          <w:szCs w:val="22"/>
        </w:rPr>
        <w:t>a wider range of people</w:t>
      </w:r>
      <w:r w:rsidR="00BF591E">
        <w:rPr>
          <w:rFonts w:asciiTheme="majorHAnsi" w:hAnsiTheme="majorHAnsi" w:cstheme="majorHAnsi"/>
          <w:bCs/>
          <w:sz w:val="22"/>
          <w:szCs w:val="22"/>
        </w:rPr>
        <w:t>,</w:t>
      </w:r>
      <w:r w:rsidR="00BF591E" w:rsidRPr="002D4097">
        <w:rPr>
          <w:rFonts w:asciiTheme="majorHAnsi" w:hAnsiTheme="majorHAnsi" w:cstheme="majorHAnsi"/>
          <w:bCs/>
          <w:sz w:val="22"/>
          <w:szCs w:val="22"/>
        </w:rPr>
        <w:t xml:space="preserve"> without </w:t>
      </w:r>
      <w:r w:rsidR="00BF591E">
        <w:rPr>
          <w:rFonts w:asciiTheme="majorHAnsi" w:hAnsiTheme="majorHAnsi" w:cstheme="majorHAnsi"/>
          <w:bCs/>
          <w:sz w:val="22"/>
          <w:szCs w:val="22"/>
        </w:rPr>
        <w:t>the need to</w:t>
      </w:r>
      <w:r w:rsidR="00BF591E" w:rsidRPr="002D409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F591E">
        <w:rPr>
          <w:rFonts w:asciiTheme="majorHAnsi" w:hAnsiTheme="majorHAnsi" w:cstheme="majorHAnsi"/>
          <w:bCs/>
          <w:sz w:val="22"/>
          <w:szCs w:val="22"/>
        </w:rPr>
        <w:t>travel</w:t>
      </w:r>
      <w:r w:rsidR="00BF591E" w:rsidRPr="002D409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F591E">
        <w:rPr>
          <w:rFonts w:asciiTheme="majorHAnsi" w:hAnsiTheme="majorHAnsi" w:cstheme="majorHAnsi"/>
          <w:bCs/>
          <w:sz w:val="22"/>
          <w:szCs w:val="22"/>
        </w:rPr>
        <w:t xml:space="preserve">to or </w:t>
      </w:r>
      <w:r w:rsidR="00BF591E" w:rsidRPr="002D4097">
        <w:rPr>
          <w:rFonts w:asciiTheme="majorHAnsi" w:hAnsiTheme="majorHAnsi" w:cstheme="majorHAnsi"/>
          <w:bCs/>
          <w:sz w:val="22"/>
          <w:szCs w:val="22"/>
        </w:rPr>
        <w:t xml:space="preserve">between clinics </w:t>
      </w:r>
      <w:r w:rsidR="00BF591E">
        <w:rPr>
          <w:rFonts w:asciiTheme="majorHAnsi" w:hAnsiTheme="majorHAnsi" w:cstheme="majorHAnsi"/>
          <w:bCs/>
          <w:sz w:val="22"/>
          <w:szCs w:val="22"/>
        </w:rPr>
        <w:t>in</w:t>
      </w:r>
      <w:r w:rsidR="00BF591E" w:rsidRPr="002D4097">
        <w:rPr>
          <w:rFonts w:asciiTheme="majorHAnsi" w:hAnsiTheme="majorHAnsi" w:cstheme="majorHAnsi"/>
          <w:bCs/>
          <w:sz w:val="22"/>
          <w:szCs w:val="22"/>
        </w:rPr>
        <w:t xml:space="preserve"> urban, regional and remote areas.  </w:t>
      </w:r>
    </w:p>
    <w:p w14:paraId="66899D7C" w14:textId="3B07DE4B" w:rsidR="00383946" w:rsidRPr="00057764" w:rsidRDefault="00383946" w:rsidP="00177F15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55BE2B13" w14:textId="4E1FFBBE" w:rsidR="002C4300" w:rsidRPr="00057764" w:rsidRDefault="00DE1571" w:rsidP="002C4300">
      <w:pPr>
        <w:spacing w:after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The hybrid service delivery model is p</w:t>
      </w:r>
      <w:r w:rsidR="00B2561A">
        <w:rPr>
          <w:rFonts w:asciiTheme="majorHAnsi" w:hAnsiTheme="majorHAnsi" w:cstheme="majorHAnsi"/>
          <w:bCs/>
          <w:sz w:val="22"/>
          <w:szCs w:val="22"/>
        </w:rPr>
        <w:t>erhaps one of the most effective approaches to integrating teleaudiology with in-person services</w:t>
      </w:r>
      <w:r w:rsidR="009C3F50" w:rsidRPr="00057764">
        <w:rPr>
          <w:rFonts w:asciiTheme="majorHAnsi" w:hAnsiTheme="majorHAnsi" w:cstheme="majorHAnsi"/>
          <w:bCs/>
          <w:sz w:val="22"/>
          <w:szCs w:val="22"/>
        </w:rPr>
        <w:t>.</w:t>
      </w:r>
      <w:r w:rsidR="00CD6DBA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In</w:t>
      </w:r>
      <w:r w:rsidR="00B2561A">
        <w:rPr>
          <w:rFonts w:asciiTheme="majorHAnsi" w:hAnsiTheme="majorHAnsi" w:cstheme="majorHAnsi"/>
          <w:bCs/>
          <w:sz w:val="22"/>
          <w:szCs w:val="22"/>
        </w:rPr>
        <w:t xml:space="preserve"> this approach</w:t>
      </w:r>
      <w:r>
        <w:rPr>
          <w:rFonts w:asciiTheme="majorHAnsi" w:hAnsiTheme="majorHAnsi" w:cstheme="majorHAnsi"/>
          <w:bCs/>
          <w:sz w:val="22"/>
          <w:szCs w:val="22"/>
        </w:rPr>
        <w:t>,</w:t>
      </w:r>
      <w:r w:rsidR="00B2561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C4300" w:rsidRPr="00057764">
        <w:rPr>
          <w:rFonts w:asciiTheme="majorHAnsi" w:hAnsiTheme="majorHAnsi" w:cstheme="majorHAnsi"/>
          <w:bCs/>
          <w:sz w:val="22"/>
          <w:szCs w:val="22"/>
        </w:rPr>
        <w:t>assessment or rehabilitation program</w:t>
      </w:r>
      <w:r w:rsidR="00B2561A">
        <w:rPr>
          <w:rFonts w:asciiTheme="majorHAnsi" w:hAnsiTheme="majorHAnsi" w:cstheme="majorHAnsi"/>
          <w:bCs/>
          <w:sz w:val="22"/>
          <w:szCs w:val="22"/>
        </w:rPr>
        <w:t>s are delivered using a mix of</w:t>
      </w:r>
      <w:r w:rsidR="00CF415A">
        <w:rPr>
          <w:rFonts w:asciiTheme="majorHAnsi" w:hAnsiTheme="majorHAnsi" w:cstheme="majorHAnsi"/>
          <w:bCs/>
          <w:sz w:val="22"/>
          <w:szCs w:val="22"/>
        </w:rPr>
        <w:t xml:space="preserve"> teleaudiology and in-person</w:t>
      </w:r>
      <w:r w:rsidR="00B2561A">
        <w:rPr>
          <w:rFonts w:asciiTheme="majorHAnsi" w:hAnsiTheme="majorHAnsi" w:cstheme="majorHAnsi"/>
          <w:bCs/>
          <w:sz w:val="22"/>
          <w:szCs w:val="22"/>
        </w:rPr>
        <w:t xml:space="preserve"> appointments</w:t>
      </w:r>
      <w:r w:rsidR="002042FD">
        <w:rPr>
          <w:rFonts w:asciiTheme="majorHAnsi" w:hAnsiTheme="majorHAnsi" w:cstheme="majorHAnsi"/>
          <w:bCs/>
          <w:sz w:val="22"/>
          <w:szCs w:val="22"/>
        </w:rPr>
        <w:t xml:space="preserve"> which helps to</w:t>
      </w:r>
      <w:r w:rsidR="00B2561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042FD">
        <w:rPr>
          <w:rFonts w:asciiTheme="majorHAnsi" w:hAnsiTheme="majorHAnsi" w:cstheme="majorHAnsi"/>
          <w:bCs/>
          <w:sz w:val="22"/>
          <w:szCs w:val="22"/>
        </w:rPr>
        <w:t>sustain</w:t>
      </w:r>
      <w:r w:rsidR="00B2561A">
        <w:rPr>
          <w:rFonts w:asciiTheme="majorHAnsi" w:hAnsiTheme="majorHAnsi" w:cstheme="majorHAnsi"/>
          <w:bCs/>
          <w:sz w:val="22"/>
          <w:szCs w:val="22"/>
        </w:rPr>
        <w:t xml:space="preserve"> continuity </w:t>
      </w:r>
      <w:r w:rsidR="002042FD">
        <w:rPr>
          <w:rFonts w:asciiTheme="majorHAnsi" w:hAnsiTheme="majorHAnsi" w:cstheme="majorHAnsi"/>
          <w:bCs/>
          <w:sz w:val="22"/>
          <w:szCs w:val="22"/>
        </w:rPr>
        <w:t>of care.</w:t>
      </w:r>
    </w:p>
    <w:p w14:paraId="4686FF24" w14:textId="7B8769A4" w:rsidR="007C3491" w:rsidRPr="00057764" w:rsidRDefault="007C3491" w:rsidP="00177F15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1B5321E1" w14:textId="370A043C" w:rsidR="00F96D1B" w:rsidRDefault="009C3F50" w:rsidP="00F6704C">
      <w:pPr>
        <w:spacing w:after="0"/>
        <w:rPr>
          <w:rFonts w:asciiTheme="majorHAnsi" w:hAnsiTheme="majorHAnsi" w:cstheme="majorHAnsi"/>
          <w:bCs/>
          <w:sz w:val="22"/>
          <w:szCs w:val="22"/>
        </w:rPr>
      </w:pPr>
      <w:r w:rsidRPr="00057764">
        <w:rPr>
          <w:rFonts w:asciiTheme="majorHAnsi" w:hAnsiTheme="majorHAnsi" w:cstheme="majorHAnsi"/>
          <w:bCs/>
          <w:sz w:val="22"/>
          <w:szCs w:val="22"/>
        </w:rPr>
        <w:t xml:space="preserve">A hybrid service delivery </w:t>
      </w:r>
      <w:r w:rsidR="00085EFB" w:rsidRPr="00057764">
        <w:rPr>
          <w:rFonts w:asciiTheme="majorHAnsi" w:hAnsiTheme="majorHAnsi" w:cstheme="majorHAnsi"/>
          <w:bCs/>
          <w:sz w:val="22"/>
          <w:szCs w:val="22"/>
        </w:rPr>
        <w:t>can take many forms</w:t>
      </w:r>
      <w:r w:rsidR="00780514" w:rsidRPr="00057764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CF415A">
        <w:rPr>
          <w:rFonts w:asciiTheme="majorHAnsi" w:hAnsiTheme="majorHAnsi" w:cstheme="majorHAnsi"/>
          <w:bCs/>
          <w:sz w:val="22"/>
          <w:szCs w:val="22"/>
        </w:rPr>
        <w:t>I</w:t>
      </w:r>
      <w:r w:rsidR="00780514" w:rsidRPr="00057764">
        <w:rPr>
          <w:rFonts w:asciiTheme="majorHAnsi" w:hAnsiTheme="majorHAnsi" w:cstheme="majorHAnsi"/>
          <w:bCs/>
          <w:sz w:val="22"/>
          <w:szCs w:val="22"/>
        </w:rPr>
        <w:t>nitial appointments to discuss case history, goal setting</w:t>
      </w:r>
      <w:r w:rsidR="00CF415A">
        <w:rPr>
          <w:rFonts w:asciiTheme="majorHAnsi" w:hAnsiTheme="majorHAnsi" w:cstheme="majorHAnsi"/>
          <w:bCs/>
          <w:sz w:val="22"/>
          <w:szCs w:val="22"/>
        </w:rPr>
        <w:t xml:space="preserve"> or</w:t>
      </w:r>
      <w:r w:rsidR="00780514" w:rsidRPr="00057764">
        <w:rPr>
          <w:rFonts w:asciiTheme="majorHAnsi" w:hAnsiTheme="majorHAnsi" w:cstheme="majorHAnsi"/>
          <w:bCs/>
          <w:sz w:val="22"/>
          <w:szCs w:val="22"/>
        </w:rPr>
        <w:t xml:space="preserve"> device discussions</w:t>
      </w:r>
      <w:r w:rsidR="00CF415A">
        <w:rPr>
          <w:rFonts w:asciiTheme="majorHAnsi" w:hAnsiTheme="majorHAnsi" w:cstheme="majorHAnsi"/>
          <w:bCs/>
          <w:sz w:val="22"/>
          <w:szCs w:val="22"/>
        </w:rPr>
        <w:t>, for example,</w:t>
      </w:r>
      <w:r w:rsidR="00780514" w:rsidRPr="00057764">
        <w:rPr>
          <w:rFonts w:asciiTheme="majorHAnsi" w:hAnsiTheme="majorHAnsi" w:cstheme="majorHAnsi"/>
          <w:bCs/>
          <w:sz w:val="22"/>
          <w:szCs w:val="22"/>
        </w:rPr>
        <w:t xml:space="preserve"> may be completed via </w:t>
      </w:r>
      <w:r w:rsidR="002042FD">
        <w:rPr>
          <w:rFonts w:asciiTheme="majorHAnsi" w:hAnsiTheme="majorHAnsi" w:cstheme="majorHAnsi"/>
          <w:bCs/>
          <w:sz w:val="22"/>
          <w:szCs w:val="22"/>
        </w:rPr>
        <w:t xml:space="preserve">a video call or by </w:t>
      </w:r>
      <w:r w:rsidR="00780514" w:rsidRPr="00057764">
        <w:rPr>
          <w:rFonts w:asciiTheme="majorHAnsi" w:hAnsiTheme="majorHAnsi" w:cstheme="majorHAnsi"/>
          <w:bCs/>
          <w:sz w:val="22"/>
          <w:szCs w:val="22"/>
        </w:rPr>
        <w:t xml:space="preserve">phone or email. These </w:t>
      </w:r>
      <w:r w:rsidR="00F96D1B" w:rsidRPr="00057764">
        <w:rPr>
          <w:rFonts w:asciiTheme="majorHAnsi" w:hAnsiTheme="majorHAnsi" w:cstheme="majorHAnsi"/>
          <w:bCs/>
          <w:sz w:val="22"/>
          <w:szCs w:val="22"/>
        </w:rPr>
        <w:t xml:space="preserve">can then be followed by </w:t>
      </w:r>
      <w:r w:rsidR="000829F0" w:rsidRPr="00057764">
        <w:rPr>
          <w:rFonts w:asciiTheme="majorHAnsi" w:hAnsiTheme="majorHAnsi" w:cstheme="majorHAnsi"/>
          <w:bCs/>
          <w:sz w:val="22"/>
          <w:szCs w:val="22"/>
        </w:rPr>
        <w:t>in</w:t>
      </w:r>
      <w:r w:rsidR="00B43D0A" w:rsidRPr="00057764">
        <w:rPr>
          <w:rFonts w:asciiTheme="majorHAnsi" w:hAnsiTheme="majorHAnsi" w:cstheme="majorHAnsi"/>
          <w:bCs/>
          <w:sz w:val="22"/>
          <w:szCs w:val="22"/>
        </w:rPr>
        <w:t>-</w:t>
      </w:r>
      <w:r w:rsidR="000829F0" w:rsidRPr="00057764">
        <w:rPr>
          <w:rFonts w:asciiTheme="majorHAnsi" w:hAnsiTheme="majorHAnsi" w:cstheme="majorHAnsi"/>
          <w:bCs/>
          <w:sz w:val="22"/>
          <w:szCs w:val="22"/>
        </w:rPr>
        <w:t>person</w:t>
      </w:r>
      <w:r w:rsidR="00E30F29" w:rsidRPr="00057764">
        <w:rPr>
          <w:rFonts w:asciiTheme="majorHAnsi" w:hAnsiTheme="majorHAnsi" w:cstheme="majorHAnsi"/>
          <w:bCs/>
          <w:sz w:val="22"/>
          <w:szCs w:val="22"/>
        </w:rPr>
        <w:t xml:space="preserve"> appointments</w:t>
      </w:r>
      <w:r w:rsidR="000829F0" w:rsidRPr="0005776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C0539" w:rsidRPr="00057764">
        <w:rPr>
          <w:rFonts w:asciiTheme="majorHAnsi" w:hAnsiTheme="majorHAnsi" w:cstheme="majorHAnsi"/>
          <w:bCs/>
          <w:sz w:val="22"/>
          <w:szCs w:val="22"/>
        </w:rPr>
        <w:t xml:space="preserve">for </w:t>
      </w:r>
      <w:r w:rsidR="00CA4132" w:rsidRPr="00057764">
        <w:rPr>
          <w:rFonts w:asciiTheme="majorHAnsi" w:hAnsiTheme="majorHAnsi" w:cstheme="majorHAnsi"/>
          <w:bCs/>
          <w:sz w:val="22"/>
          <w:szCs w:val="22"/>
        </w:rPr>
        <w:t>a</w:t>
      </w:r>
      <w:r w:rsidR="00EC0539" w:rsidRPr="00057764">
        <w:rPr>
          <w:rFonts w:asciiTheme="majorHAnsi" w:hAnsiTheme="majorHAnsi" w:cstheme="majorHAnsi"/>
          <w:bCs/>
          <w:sz w:val="22"/>
          <w:szCs w:val="22"/>
        </w:rPr>
        <w:t xml:space="preserve">ctivities </w:t>
      </w:r>
      <w:r w:rsidR="000829F0" w:rsidRPr="00057764">
        <w:rPr>
          <w:rFonts w:asciiTheme="majorHAnsi" w:hAnsiTheme="majorHAnsi" w:cstheme="majorHAnsi"/>
          <w:bCs/>
          <w:sz w:val="22"/>
          <w:szCs w:val="22"/>
        </w:rPr>
        <w:t>such as</w:t>
      </w:r>
      <w:r w:rsidR="00D84C4A" w:rsidRPr="00057764">
        <w:rPr>
          <w:rFonts w:asciiTheme="majorHAnsi" w:hAnsiTheme="majorHAnsi" w:cstheme="majorHAnsi"/>
          <w:bCs/>
          <w:sz w:val="22"/>
          <w:szCs w:val="22"/>
        </w:rPr>
        <w:t xml:space="preserve"> impression taking,</w:t>
      </w:r>
      <w:r w:rsidR="000829F0" w:rsidRPr="0005776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F4B91" w:rsidRPr="00057764">
        <w:rPr>
          <w:rFonts w:asciiTheme="majorHAnsi" w:hAnsiTheme="majorHAnsi" w:cstheme="majorHAnsi"/>
          <w:bCs/>
          <w:sz w:val="22"/>
          <w:szCs w:val="22"/>
        </w:rPr>
        <w:t>testing or initial hearing device adjustments</w:t>
      </w:r>
      <w:r w:rsidR="00EC0539" w:rsidRPr="00057764">
        <w:rPr>
          <w:rFonts w:asciiTheme="majorHAnsi" w:hAnsiTheme="majorHAnsi" w:cstheme="majorHAnsi"/>
          <w:bCs/>
          <w:sz w:val="22"/>
          <w:szCs w:val="22"/>
        </w:rPr>
        <w:t xml:space="preserve">. </w:t>
      </w:r>
    </w:p>
    <w:p w14:paraId="64394548" w14:textId="77777777" w:rsidR="00CF415A" w:rsidRPr="00057764" w:rsidRDefault="00CF415A" w:rsidP="00F6704C">
      <w:pPr>
        <w:spacing w:after="0"/>
        <w:rPr>
          <w:rFonts w:asciiTheme="majorHAnsi" w:hAnsiTheme="majorHAnsi" w:cstheme="majorHAnsi"/>
          <w:bCs/>
          <w:sz w:val="22"/>
          <w:szCs w:val="22"/>
        </w:rPr>
      </w:pPr>
    </w:p>
    <w:p w14:paraId="3FC105A9" w14:textId="5ACCB4DB" w:rsidR="00043E3E" w:rsidRPr="002D4097" w:rsidRDefault="002042FD" w:rsidP="00F6704C">
      <w:pPr>
        <w:spacing w:after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F</w:t>
      </w:r>
      <w:r w:rsidR="00FF4B91" w:rsidRPr="00057764">
        <w:rPr>
          <w:rFonts w:asciiTheme="majorHAnsi" w:hAnsiTheme="majorHAnsi" w:cstheme="majorHAnsi"/>
          <w:bCs/>
          <w:sz w:val="22"/>
          <w:szCs w:val="22"/>
        </w:rPr>
        <w:t>ollow up</w:t>
      </w:r>
      <w:r w:rsidR="00EC0539" w:rsidRPr="00057764">
        <w:rPr>
          <w:rFonts w:asciiTheme="majorHAnsi" w:hAnsiTheme="majorHAnsi" w:cstheme="majorHAnsi"/>
          <w:bCs/>
          <w:sz w:val="22"/>
          <w:szCs w:val="22"/>
        </w:rPr>
        <w:t xml:space="preserve"> and maintenance</w:t>
      </w:r>
      <w:r w:rsidR="00FF4B91" w:rsidRPr="0005776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037EB" w:rsidRPr="00057764">
        <w:rPr>
          <w:rFonts w:asciiTheme="majorHAnsi" w:hAnsiTheme="majorHAnsi" w:cstheme="majorHAnsi"/>
          <w:bCs/>
          <w:sz w:val="22"/>
          <w:szCs w:val="22"/>
        </w:rPr>
        <w:t>appointments</w:t>
      </w:r>
      <w:r w:rsidR="004558F3" w:rsidRPr="00057764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>can then</w:t>
      </w:r>
      <w:r w:rsidR="00F96D1B" w:rsidRPr="0005776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558F3" w:rsidRPr="00057764">
        <w:rPr>
          <w:rFonts w:asciiTheme="majorHAnsi" w:hAnsiTheme="majorHAnsi" w:cstheme="majorHAnsi"/>
          <w:bCs/>
          <w:sz w:val="22"/>
          <w:szCs w:val="22"/>
        </w:rPr>
        <w:t xml:space="preserve">be </w:t>
      </w:r>
      <w:r w:rsidR="00FF4B91" w:rsidRPr="00057764">
        <w:rPr>
          <w:rFonts w:asciiTheme="majorHAnsi" w:hAnsiTheme="majorHAnsi" w:cstheme="majorHAnsi"/>
          <w:bCs/>
          <w:sz w:val="22"/>
          <w:szCs w:val="22"/>
        </w:rPr>
        <w:t xml:space="preserve">completed </w:t>
      </w:r>
      <w:r w:rsidR="00CF415A">
        <w:rPr>
          <w:rFonts w:asciiTheme="majorHAnsi" w:hAnsiTheme="majorHAnsi" w:cstheme="majorHAnsi"/>
          <w:bCs/>
          <w:sz w:val="22"/>
          <w:szCs w:val="22"/>
        </w:rPr>
        <w:t>by teleaudiology</w:t>
      </w:r>
      <w:r w:rsidR="00F96D1B" w:rsidRPr="00057764">
        <w:rPr>
          <w:rFonts w:asciiTheme="majorHAnsi" w:hAnsiTheme="majorHAnsi" w:cstheme="majorHAnsi"/>
          <w:bCs/>
          <w:sz w:val="22"/>
          <w:szCs w:val="22"/>
        </w:rPr>
        <w:t>.</w:t>
      </w:r>
    </w:p>
    <w:p w14:paraId="518E9B05" w14:textId="77777777" w:rsidR="00177F15" w:rsidRDefault="00177F15" w:rsidP="00177F15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00A09E98" w14:textId="06F81E67" w:rsidR="00262F4C" w:rsidRDefault="00A41DE6" w:rsidP="007F15C8">
      <w:pPr>
        <w:pStyle w:val="CommentText"/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 a service delivery tool</w:t>
      </w:r>
      <w:r w:rsidR="00F51E9F">
        <w:rPr>
          <w:rFonts w:asciiTheme="majorHAnsi" w:hAnsiTheme="majorHAnsi" w:cstheme="majorHAnsi"/>
          <w:sz w:val="22"/>
          <w:szCs w:val="22"/>
        </w:rPr>
        <w:t>, teleaudiology</w:t>
      </w:r>
      <w:r w:rsidR="00043E3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requires the</w:t>
      </w:r>
      <w:r w:rsidR="00C51FE3" w:rsidRPr="00F6707D">
        <w:rPr>
          <w:rFonts w:asciiTheme="majorHAnsi" w:hAnsiTheme="majorHAnsi" w:cstheme="majorHAnsi"/>
          <w:sz w:val="22"/>
          <w:szCs w:val="22"/>
        </w:rPr>
        <w:t xml:space="preserve"> same clinical decision making, care and therapeutic relationship as </w:t>
      </w:r>
      <w:r>
        <w:rPr>
          <w:rFonts w:asciiTheme="majorHAnsi" w:hAnsiTheme="majorHAnsi" w:cstheme="majorHAnsi"/>
          <w:sz w:val="22"/>
          <w:szCs w:val="22"/>
        </w:rPr>
        <w:t>for</w:t>
      </w:r>
      <w:r w:rsidR="00C51FE3" w:rsidRPr="00F6707D">
        <w:rPr>
          <w:rFonts w:asciiTheme="majorHAnsi" w:hAnsiTheme="majorHAnsi" w:cstheme="majorHAnsi"/>
          <w:sz w:val="22"/>
          <w:szCs w:val="22"/>
        </w:rPr>
        <w:t xml:space="preserve"> in</w:t>
      </w:r>
      <w:r w:rsidR="00F6704C">
        <w:rPr>
          <w:rFonts w:asciiTheme="majorHAnsi" w:hAnsiTheme="majorHAnsi" w:cstheme="majorHAnsi"/>
          <w:sz w:val="22"/>
          <w:szCs w:val="22"/>
        </w:rPr>
        <w:t>-</w:t>
      </w:r>
      <w:r w:rsidR="00C51FE3" w:rsidRPr="00F6707D">
        <w:rPr>
          <w:rFonts w:asciiTheme="majorHAnsi" w:hAnsiTheme="majorHAnsi" w:cstheme="majorHAnsi"/>
          <w:sz w:val="22"/>
          <w:szCs w:val="22"/>
        </w:rPr>
        <w:t>person services</w:t>
      </w:r>
      <w:r w:rsidR="002042FD">
        <w:rPr>
          <w:rFonts w:asciiTheme="majorHAnsi" w:hAnsiTheme="majorHAnsi" w:cstheme="majorHAnsi"/>
          <w:sz w:val="22"/>
          <w:szCs w:val="22"/>
        </w:rPr>
        <w:t>,</w:t>
      </w:r>
      <w:r w:rsidR="00C51FE3" w:rsidRPr="00F6707D">
        <w:rPr>
          <w:rFonts w:asciiTheme="majorHAnsi" w:hAnsiTheme="majorHAnsi" w:cstheme="majorHAnsi"/>
          <w:sz w:val="22"/>
          <w:szCs w:val="22"/>
        </w:rPr>
        <w:t xml:space="preserve"> with the addition</w:t>
      </w:r>
      <w:r w:rsidR="008E21C6" w:rsidRPr="00F6707D">
        <w:rPr>
          <w:rFonts w:asciiTheme="majorHAnsi" w:hAnsiTheme="majorHAnsi" w:cstheme="majorHAnsi"/>
          <w:sz w:val="22"/>
          <w:szCs w:val="22"/>
        </w:rPr>
        <w:t>al</w:t>
      </w:r>
      <w:r w:rsidR="00C51FE3" w:rsidRPr="00F6707D">
        <w:rPr>
          <w:rFonts w:asciiTheme="majorHAnsi" w:hAnsiTheme="majorHAnsi" w:cstheme="majorHAnsi"/>
          <w:sz w:val="22"/>
          <w:szCs w:val="22"/>
        </w:rPr>
        <w:t xml:space="preserve"> requirement</w:t>
      </w:r>
      <w:r w:rsidR="008E21C6" w:rsidRPr="00F6707D">
        <w:rPr>
          <w:rFonts w:asciiTheme="majorHAnsi" w:hAnsiTheme="majorHAnsi" w:cstheme="majorHAnsi"/>
          <w:sz w:val="22"/>
          <w:szCs w:val="22"/>
        </w:rPr>
        <w:t>s</w:t>
      </w:r>
      <w:r w:rsidR="00C51FE3" w:rsidRPr="00F6707D">
        <w:rPr>
          <w:rFonts w:asciiTheme="majorHAnsi" w:hAnsiTheme="majorHAnsi" w:cstheme="majorHAnsi"/>
          <w:sz w:val="22"/>
          <w:szCs w:val="22"/>
        </w:rPr>
        <w:t xml:space="preserve"> </w:t>
      </w:r>
      <w:r w:rsidR="00C31E7C">
        <w:rPr>
          <w:rFonts w:asciiTheme="majorHAnsi" w:hAnsiTheme="majorHAnsi" w:cstheme="majorHAnsi"/>
          <w:sz w:val="22"/>
          <w:szCs w:val="22"/>
        </w:rPr>
        <w:t>of</w:t>
      </w:r>
      <w:r w:rsidR="00262F4C">
        <w:rPr>
          <w:rFonts w:asciiTheme="majorHAnsi" w:hAnsiTheme="majorHAnsi" w:cstheme="majorHAnsi"/>
          <w:sz w:val="22"/>
          <w:szCs w:val="22"/>
        </w:rPr>
        <w:t>:</w:t>
      </w:r>
    </w:p>
    <w:p w14:paraId="00992B52" w14:textId="4DF071D1" w:rsidR="00262F4C" w:rsidRDefault="005A3AA9" w:rsidP="00262F4C">
      <w:pPr>
        <w:pStyle w:val="CommentText"/>
        <w:numPr>
          <w:ilvl w:val="0"/>
          <w:numId w:val="33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F6707D">
        <w:rPr>
          <w:rFonts w:asciiTheme="majorHAnsi" w:hAnsiTheme="majorHAnsi" w:cstheme="majorHAnsi"/>
          <w:sz w:val="22"/>
          <w:szCs w:val="22"/>
        </w:rPr>
        <w:t>demonstrating empathy via visual and</w:t>
      </w:r>
      <w:r w:rsidR="00FB2011" w:rsidRPr="00F6707D">
        <w:rPr>
          <w:rFonts w:asciiTheme="majorHAnsi" w:hAnsiTheme="majorHAnsi" w:cstheme="majorHAnsi"/>
          <w:sz w:val="22"/>
          <w:szCs w:val="22"/>
        </w:rPr>
        <w:t>/or</w:t>
      </w:r>
      <w:r w:rsidRPr="00F6707D">
        <w:rPr>
          <w:rFonts w:asciiTheme="majorHAnsi" w:hAnsiTheme="majorHAnsi" w:cstheme="majorHAnsi"/>
          <w:sz w:val="22"/>
          <w:szCs w:val="22"/>
        </w:rPr>
        <w:t xml:space="preserve"> verbal cues</w:t>
      </w:r>
    </w:p>
    <w:p w14:paraId="6F6C27D5" w14:textId="1C4B4C2C" w:rsidR="00262F4C" w:rsidRDefault="008E21C6" w:rsidP="00262F4C">
      <w:pPr>
        <w:pStyle w:val="CommentText"/>
        <w:numPr>
          <w:ilvl w:val="0"/>
          <w:numId w:val="33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F6707D">
        <w:rPr>
          <w:rFonts w:asciiTheme="majorHAnsi" w:hAnsiTheme="majorHAnsi" w:cstheme="majorHAnsi"/>
          <w:sz w:val="22"/>
          <w:szCs w:val="22"/>
        </w:rPr>
        <w:t>perspective taking skills</w:t>
      </w:r>
    </w:p>
    <w:p w14:paraId="72AD8527" w14:textId="5545F472" w:rsidR="00262F4C" w:rsidRDefault="00897CB5" w:rsidP="00262F4C">
      <w:pPr>
        <w:pStyle w:val="CommentText"/>
        <w:numPr>
          <w:ilvl w:val="0"/>
          <w:numId w:val="33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F6707D">
        <w:rPr>
          <w:rFonts w:asciiTheme="majorHAnsi" w:hAnsiTheme="majorHAnsi" w:cstheme="majorHAnsi"/>
          <w:sz w:val="22"/>
          <w:szCs w:val="22"/>
        </w:rPr>
        <w:t>basic technology troubleshooting</w:t>
      </w:r>
      <w:r w:rsidR="00C31E7C">
        <w:rPr>
          <w:rFonts w:asciiTheme="majorHAnsi" w:hAnsiTheme="majorHAnsi" w:cstheme="majorHAnsi"/>
          <w:sz w:val="22"/>
          <w:szCs w:val="22"/>
        </w:rPr>
        <w:t xml:space="preserve"> skills</w:t>
      </w:r>
      <w:r w:rsidR="00262F4C">
        <w:rPr>
          <w:rFonts w:asciiTheme="majorHAnsi" w:hAnsiTheme="majorHAnsi" w:cstheme="majorHAnsi"/>
          <w:sz w:val="22"/>
          <w:szCs w:val="22"/>
        </w:rPr>
        <w:t xml:space="preserve">, </w:t>
      </w:r>
      <w:r w:rsidR="00C31E7C">
        <w:rPr>
          <w:rFonts w:asciiTheme="majorHAnsi" w:hAnsiTheme="majorHAnsi" w:cstheme="majorHAnsi"/>
          <w:sz w:val="22"/>
          <w:szCs w:val="22"/>
        </w:rPr>
        <w:t xml:space="preserve">and </w:t>
      </w:r>
    </w:p>
    <w:p w14:paraId="575502BE" w14:textId="655D2360" w:rsidR="00C51FE3" w:rsidRPr="00F6707D" w:rsidRDefault="00C31E7C" w:rsidP="00262F4C">
      <w:pPr>
        <w:pStyle w:val="CommentText"/>
        <w:numPr>
          <w:ilvl w:val="0"/>
          <w:numId w:val="33"/>
        </w:numPr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being</w:t>
      </w:r>
      <w:r w:rsidR="00E17119" w:rsidRPr="00F6707D">
        <w:rPr>
          <w:rFonts w:asciiTheme="majorHAnsi" w:hAnsiTheme="majorHAnsi" w:cstheme="majorHAnsi"/>
          <w:sz w:val="22"/>
          <w:szCs w:val="22"/>
        </w:rPr>
        <w:t xml:space="preserve"> prepared to change tac</w:t>
      </w:r>
      <w:r w:rsidR="00CF415A">
        <w:rPr>
          <w:rFonts w:asciiTheme="majorHAnsi" w:hAnsiTheme="majorHAnsi" w:cstheme="majorHAnsi"/>
          <w:sz w:val="22"/>
          <w:szCs w:val="22"/>
        </w:rPr>
        <w:t>k</w:t>
      </w:r>
      <w:r w:rsidR="00E17119" w:rsidRPr="00F6707D">
        <w:rPr>
          <w:rFonts w:asciiTheme="majorHAnsi" w:hAnsiTheme="majorHAnsi" w:cstheme="majorHAnsi"/>
          <w:sz w:val="22"/>
          <w:szCs w:val="22"/>
        </w:rPr>
        <w:t xml:space="preserve"> and </w:t>
      </w:r>
      <w:r w:rsidR="009E6F95" w:rsidRPr="00F6707D">
        <w:rPr>
          <w:rFonts w:asciiTheme="majorHAnsi" w:hAnsiTheme="majorHAnsi" w:cstheme="majorHAnsi"/>
          <w:sz w:val="22"/>
          <w:szCs w:val="22"/>
        </w:rPr>
        <w:t xml:space="preserve">reschedule (as is the case with </w:t>
      </w:r>
      <w:r>
        <w:rPr>
          <w:rFonts w:asciiTheme="majorHAnsi" w:hAnsiTheme="majorHAnsi" w:cstheme="majorHAnsi"/>
          <w:sz w:val="22"/>
          <w:szCs w:val="22"/>
        </w:rPr>
        <w:t>in-</w:t>
      </w:r>
      <w:r w:rsidR="00B22BF3">
        <w:rPr>
          <w:rFonts w:asciiTheme="majorHAnsi" w:hAnsiTheme="majorHAnsi" w:cstheme="majorHAnsi"/>
          <w:sz w:val="22"/>
          <w:szCs w:val="22"/>
        </w:rPr>
        <w:t>person</w:t>
      </w:r>
      <w:r w:rsidR="009E6F95" w:rsidRPr="00F6707D">
        <w:rPr>
          <w:rFonts w:asciiTheme="majorHAnsi" w:hAnsiTheme="majorHAnsi" w:cstheme="majorHAnsi"/>
          <w:sz w:val="22"/>
          <w:szCs w:val="22"/>
        </w:rPr>
        <w:t xml:space="preserve"> appointments) or consider</w:t>
      </w:r>
      <w:r w:rsidR="00E17119" w:rsidRPr="00F6707D">
        <w:rPr>
          <w:rFonts w:asciiTheme="majorHAnsi" w:hAnsiTheme="majorHAnsi" w:cstheme="majorHAnsi"/>
          <w:sz w:val="22"/>
          <w:szCs w:val="22"/>
        </w:rPr>
        <w:t xml:space="preserve"> a different mode of serv</w:t>
      </w:r>
      <w:r w:rsidR="009E6F95" w:rsidRPr="00F6707D">
        <w:rPr>
          <w:rFonts w:asciiTheme="majorHAnsi" w:hAnsiTheme="majorHAnsi" w:cstheme="majorHAnsi"/>
          <w:sz w:val="22"/>
          <w:szCs w:val="22"/>
        </w:rPr>
        <w:t>i</w:t>
      </w:r>
      <w:r w:rsidR="00E17119" w:rsidRPr="00F6707D">
        <w:rPr>
          <w:rFonts w:asciiTheme="majorHAnsi" w:hAnsiTheme="majorHAnsi" w:cstheme="majorHAnsi"/>
          <w:sz w:val="22"/>
          <w:szCs w:val="22"/>
        </w:rPr>
        <w:t>ce</w:t>
      </w:r>
      <w:r w:rsidR="009E6F95" w:rsidRPr="00F6707D">
        <w:rPr>
          <w:rFonts w:asciiTheme="majorHAnsi" w:hAnsiTheme="majorHAnsi" w:cstheme="majorHAnsi"/>
          <w:sz w:val="22"/>
          <w:szCs w:val="22"/>
        </w:rPr>
        <w:t xml:space="preserve"> </w:t>
      </w:r>
      <w:r w:rsidR="00E17119" w:rsidRPr="00F6707D">
        <w:rPr>
          <w:rFonts w:asciiTheme="majorHAnsi" w:hAnsiTheme="majorHAnsi" w:cstheme="majorHAnsi"/>
          <w:sz w:val="22"/>
          <w:szCs w:val="22"/>
        </w:rPr>
        <w:t xml:space="preserve">delivery if it is clear </w:t>
      </w:r>
      <w:r w:rsidR="009E6F95" w:rsidRPr="00F6707D">
        <w:rPr>
          <w:rFonts w:asciiTheme="majorHAnsi" w:hAnsiTheme="majorHAnsi" w:cstheme="majorHAnsi"/>
          <w:sz w:val="22"/>
          <w:szCs w:val="22"/>
        </w:rPr>
        <w:t>client outcomes will not be well met</w:t>
      </w:r>
      <w:r w:rsidR="00351590" w:rsidRPr="00F6707D">
        <w:rPr>
          <w:rFonts w:asciiTheme="majorHAnsi" w:hAnsiTheme="majorHAnsi" w:cstheme="majorHAnsi"/>
          <w:sz w:val="22"/>
          <w:szCs w:val="22"/>
        </w:rPr>
        <w:t xml:space="preserve"> or require other supports. </w:t>
      </w:r>
    </w:p>
    <w:p w14:paraId="7F4799AD" w14:textId="77777777" w:rsidR="00205285" w:rsidRDefault="00205285" w:rsidP="00177F15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758B3724" w14:textId="644335E4" w:rsidR="00A70BDB" w:rsidRPr="00043E3E" w:rsidRDefault="00043E3E" w:rsidP="00177F15">
      <w:pPr>
        <w:spacing w:after="0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043E3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</w:t>
      </w:r>
      <w:r w:rsidR="007831BA" w:rsidRPr="00043E3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enefits for the provider and </w:t>
      </w:r>
      <w:r w:rsidR="00A41DE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client (</w:t>
      </w:r>
      <w:r w:rsidR="007831BA" w:rsidRPr="00043E3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consumer</w:t>
      </w:r>
      <w:r w:rsidR="00A41DE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)</w:t>
      </w:r>
    </w:p>
    <w:p w14:paraId="545D0BEE" w14:textId="4122FB22" w:rsidR="00131676" w:rsidRDefault="00383946" w:rsidP="00177F15">
      <w:pPr>
        <w:spacing w:after="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Teleaudiology</w:t>
      </w:r>
      <w:r w:rsidR="00043E3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="00F8255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gives</w:t>
      </w:r>
      <w:r w:rsidR="00043E3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the practitioner the ability to offer a truly </w:t>
      </w:r>
      <w:r w:rsidR="007F15C8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client</w:t>
      </w:r>
      <w:r w:rsidR="00CF415A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-</w:t>
      </w:r>
      <w:r w:rsidR="00043E3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centred delivery service</w:t>
      </w:r>
      <w:r w:rsidR="00F82555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, which is critical. </w:t>
      </w:r>
    </w:p>
    <w:p w14:paraId="1580C156" w14:textId="76091859" w:rsidR="00177F15" w:rsidRDefault="00F82555" w:rsidP="00177F15">
      <w:pPr>
        <w:spacing w:after="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There are benefits for the provider and consumer alike.</w:t>
      </w:r>
    </w:p>
    <w:p w14:paraId="335CFCB3" w14:textId="77777777" w:rsidR="00177F15" w:rsidRDefault="00177F15" w:rsidP="00177F15">
      <w:pPr>
        <w:spacing w:after="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14:paraId="023B9B7F" w14:textId="249AFA40" w:rsidR="00177F15" w:rsidRDefault="002042FD" w:rsidP="00177F15">
      <w:pPr>
        <w:spacing w:after="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Ian Rimes, c</w:t>
      </w:r>
      <w:r w:rsidR="007831BA" w:rsidRPr="00E3715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onsumer representative on the </w:t>
      </w:r>
      <w:r w:rsidR="0013167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T</w:t>
      </w:r>
      <w:r w:rsidR="007831BA" w:rsidRPr="00E3715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eleaudiology </w:t>
      </w:r>
      <w:r w:rsidR="00131676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Guidelines </w:t>
      </w:r>
      <w:r w:rsidR="007831BA" w:rsidRPr="00E3715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Working Group adds, </w:t>
      </w:r>
      <w:r w:rsidR="007831BA"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“As a consumer</w:t>
      </w:r>
      <w:r w:rsidR="00CF415A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,</w:t>
      </w:r>
      <w:r w:rsidR="007831BA"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I welcome the option of having a remote consultation with my </w:t>
      </w:r>
      <w:r w:rsidR="00C31E7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A</w:t>
      </w:r>
      <w:r w:rsidR="007831BA"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udiologist assisted by a person to handle any technical issues.</w:t>
      </w:r>
      <w:r w:rsidR="009B1048"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It is my choice to have a consultation </w:t>
      </w:r>
      <w:r w:rsidR="00C31E7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in-person </w:t>
      </w:r>
      <w:r w:rsidR="009B1048"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or by teleaudiology which is fantastic as it </w:t>
      </w:r>
      <w:r w:rsidR="00F82555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really does </w:t>
      </w:r>
      <w:r w:rsidR="009B1048"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put the consumer firmly at the centre of the hearing service</w:t>
      </w:r>
      <w:r w:rsidR="00DB12F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.</w:t>
      </w:r>
      <w:r w:rsidR="009B1048"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”</w:t>
      </w:r>
    </w:p>
    <w:p w14:paraId="13D6CD22" w14:textId="77777777" w:rsidR="00177F15" w:rsidRDefault="00177F15" w:rsidP="00177F15">
      <w:pPr>
        <w:spacing w:after="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14:paraId="25D0041B" w14:textId="2D12F46B" w:rsidR="009B1048" w:rsidRDefault="009B1048" w:rsidP="00177F15">
      <w:pPr>
        <w:spacing w:after="0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</w:pP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From a provider</w:t>
      </w:r>
      <w:r w:rsidR="00DB12F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’</w:t>
      </w: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s perspective, Jane MacDonald</w:t>
      </w:r>
      <w:r w:rsidR="00C31E7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,</w:t>
      </w: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</w:t>
      </w: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AU" w:eastAsia="en-GB"/>
        </w:rPr>
        <w:t>Audiologist</w:t>
      </w:r>
      <w:r w:rsidR="00C31E7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AU" w:eastAsia="en-GB"/>
        </w:rPr>
        <w:t xml:space="preserve"> </w:t>
      </w: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val="en-AU" w:eastAsia="en-GB"/>
        </w:rPr>
        <w:t xml:space="preserve">and </w:t>
      </w:r>
      <w:r w:rsidRPr="00E3715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Teleaudiology Guidelines Working Group Member</w:t>
      </w: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adds, “Teleaudiology </w:t>
      </w:r>
      <w:r w:rsidR="00262F4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gives</w:t>
      </w:r>
      <w:r w:rsidR="00262F4C"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</w:t>
      </w: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provider</w:t>
      </w:r>
      <w:r w:rsidR="00262F4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s a way to</w:t>
      </w: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</w:t>
      </w:r>
      <w:r w:rsidR="001E6C89"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offer adaptable</w:t>
      </w: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service delivery method</w:t>
      </w:r>
      <w:r w:rsidR="00E3715E"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s</w:t>
      </w: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</w:t>
      </w:r>
      <w:r w:rsidR="00262F4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to</w:t>
      </w: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support their </w:t>
      </w: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lastRenderedPageBreak/>
        <w:t>clients’ clinical needs</w:t>
      </w:r>
      <w:r w:rsidR="00E3715E"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. It offers</w:t>
      </w:r>
      <w:r w:rsidR="001C14CF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alternative options for clients to access services outside traditional </w:t>
      </w:r>
      <w:r w:rsidR="00C31E7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in-person</w:t>
      </w: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appointments </w:t>
      </w:r>
      <w:r w:rsidR="00E3715E"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and gives </w:t>
      </w: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providers t</w:t>
      </w:r>
      <w:r w:rsidR="00E3715E"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he means to</w:t>
      </w: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increase the</w:t>
      </w:r>
      <w:r w:rsidR="00262F4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reach of their</w:t>
      </w: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services</w:t>
      </w:r>
      <w:r w:rsidR="00262F4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 xml:space="preserve"> </w:t>
      </w:r>
      <w:r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- especially helpful in rural locations to reduce travel requirements for clients</w:t>
      </w:r>
      <w:r w:rsidR="00DB12FC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.</w:t>
      </w:r>
      <w:r w:rsidR="00E3715E" w:rsidRPr="00E3715E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  <w:lang w:eastAsia="en-GB"/>
        </w:rPr>
        <w:t>”</w:t>
      </w:r>
    </w:p>
    <w:p w14:paraId="2B3020FD" w14:textId="59F63DAA" w:rsidR="007831BA" w:rsidRPr="00E3715E" w:rsidRDefault="009B1048" w:rsidP="00177F15">
      <w:pPr>
        <w:spacing w:after="0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F749C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38680D04" w14:textId="03FE9DBE" w:rsidR="00F40A5B" w:rsidRDefault="00E3715E" w:rsidP="00177F15">
      <w:pPr>
        <w:spacing w:after="0"/>
        <w:rPr>
          <w:rFonts w:asciiTheme="majorHAnsi" w:hAnsiTheme="majorHAnsi" w:cs="Times"/>
          <w:b/>
          <w:sz w:val="22"/>
          <w:szCs w:val="22"/>
        </w:rPr>
      </w:pPr>
      <w:r>
        <w:rPr>
          <w:rFonts w:asciiTheme="majorHAnsi" w:hAnsiTheme="majorHAnsi" w:cs="Times"/>
          <w:b/>
          <w:sz w:val="22"/>
          <w:szCs w:val="22"/>
        </w:rPr>
        <w:t>Teleaudiology’s role in the</w:t>
      </w:r>
      <w:r w:rsidR="00F40A5B">
        <w:rPr>
          <w:rFonts w:asciiTheme="majorHAnsi" w:hAnsiTheme="majorHAnsi" w:cs="Times"/>
          <w:b/>
          <w:sz w:val="22"/>
          <w:szCs w:val="22"/>
        </w:rPr>
        <w:t xml:space="preserve"> </w:t>
      </w:r>
      <w:r>
        <w:rPr>
          <w:rFonts w:asciiTheme="majorHAnsi" w:hAnsiTheme="majorHAnsi" w:cs="Times"/>
          <w:b/>
          <w:sz w:val="22"/>
          <w:szCs w:val="22"/>
        </w:rPr>
        <w:t>f</w:t>
      </w:r>
      <w:r w:rsidR="00F40A5B" w:rsidRPr="00FE0CA1">
        <w:rPr>
          <w:rFonts w:asciiTheme="majorHAnsi" w:hAnsiTheme="majorHAnsi" w:cs="Times"/>
          <w:b/>
          <w:sz w:val="22"/>
          <w:szCs w:val="22"/>
        </w:rPr>
        <w:t>uture</w:t>
      </w:r>
    </w:p>
    <w:p w14:paraId="2379C6E8" w14:textId="3C0988BF" w:rsidR="009813DC" w:rsidRDefault="00A058A9" w:rsidP="00177F15">
      <w:pPr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Investing</w:t>
      </w:r>
      <w:r w:rsidR="00227445" w:rsidRPr="00057764">
        <w:rPr>
          <w:rFonts w:asciiTheme="majorHAnsi" w:hAnsiTheme="majorHAnsi" w:cstheme="majorHAnsi"/>
          <w:sz w:val="22"/>
          <w:szCs w:val="22"/>
        </w:rPr>
        <w:t xml:space="preserve"> in telehealth</w:t>
      </w:r>
      <w:r>
        <w:rPr>
          <w:rFonts w:asciiTheme="majorHAnsi" w:hAnsiTheme="majorHAnsi" w:cstheme="majorHAnsi"/>
          <w:sz w:val="22"/>
          <w:szCs w:val="22"/>
        </w:rPr>
        <w:t xml:space="preserve"> skills development and exploring</w:t>
      </w:r>
      <w:r w:rsidR="00227445" w:rsidRPr="00057764">
        <w:rPr>
          <w:rFonts w:asciiTheme="majorHAnsi" w:hAnsiTheme="majorHAnsi" w:cstheme="majorHAnsi"/>
          <w:sz w:val="22"/>
          <w:szCs w:val="22"/>
        </w:rPr>
        <w:t xml:space="preserve"> technology</w:t>
      </w:r>
      <w:r>
        <w:rPr>
          <w:rFonts w:asciiTheme="majorHAnsi" w:hAnsiTheme="majorHAnsi" w:cstheme="majorHAnsi"/>
          <w:sz w:val="22"/>
          <w:szCs w:val="22"/>
        </w:rPr>
        <w:t xml:space="preserve"> options</w:t>
      </w:r>
      <w:r w:rsidR="00227445" w:rsidRPr="00057764">
        <w:rPr>
          <w:rFonts w:asciiTheme="majorHAnsi" w:hAnsiTheme="majorHAnsi" w:cstheme="majorHAnsi"/>
          <w:sz w:val="22"/>
          <w:szCs w:val="22"/>
        </w:rPr>
        <w:t xml:space="preserve"> can </w:t>
      </w:r>
      <w:r>
        <w:rPr>
          <w:rFonts w:asciiTheme="majorHAnsi" w:hAnsiTheme="majorHAnsi" w:cstheme="majorHAnsi"/>
          <w:sz w:val="22"/>
          <w:szCs w:val="22"/>
        </w:rPr>
        <w:t>help providers prepare for the future</w:t>
      </w:r>
      <w:r w:rsidR="00227445" w:rsidRPr="00057764">
        <w:rPr>
          <w:rFonts w:asciiTheme="majorHAnsi" w:hAnsiTheme="majorHAnsi" w:cstheme="majorHAnsi"/>
          <w:sz w:val="22"/>
          <w:szCs w:val="22"/>
        </w:rPr>
        <w:t xml:space="preserve">. </w:t>
      </w:r>
      <w:r w:rsidR="00262F4C">
        <w:rPr>
          <w:rFonts w:asciiTheme="majorHAnsi" w:hAnsiTheme="majorHAnsi" w:cstheme="majorHAnsi"/>
          <w:sz w:val="22"/>
          <w:szCs w:val="22"/>
        </w:rPr>
        <w:t>Teleaudiology</w:t>
      </w:r>
      <w:r w:rsidR="00262F4C" w:rsidRPr="00057764">
        <w:rPr>
          <w:rFonts w:asciiTheme="majorHAnsi" w:hAnsiTheme="majorHAnsi" w:cstheme="majorHAnsi"/>
          <w:sz w:val="22"/>
          <w:szCs w:val="22"/>
        </w:rPr>
        <w:t xml:space="preserve"> </w:t>
      </w:r>
      <w:r w:rsidR="00262F4C">
        <w:rPr>
          <w:rFonts w:asciiTheme="majorHAnsi" w:hAnsiTheme="majorHAnsi" w:cstheme="majorHAnsi"/>
          <w:sz w:val="22"/>
          <w:szCs w:val="22"/>
        </w:rPr>
        <w:t>enhances</w:t>
      </w:r>
      <w:r w:rsidR="009813DC" w:rsidRPr="00057764">
        <w:rPr>
          <w:rFonts w:asciiTheme="majorHAnsi" w:hAnsiTheme="majorHAnsi" w:cstheme="majorHAnsi"/>
          <w:sz w:val="22"/>
          <w:szCs w:val="22"/>
        </w:rPr>
        <w:t xml:space="preserve"> client-centered</w:t>
      </w:r>
      <w:r w:rsidR="00057764">
        <w:rPr>
          <w:rFonts w:asciiTheme="majorHAnsi" w:hAnsiTheme="majorHAnsi" w:cstheme="majorHAnsi"/>
          <w:sz w:val="22"/>
          <w:szCs w:val="22"/>
        </w:rPr>
        <w:t xml:space="preserve"> </w:t>
      </w:r>
      <w:r w:rsidR="00262F4C">
        <w:rPr>
          <w:rFonts w:asciiTheme="majorHAnsi" w:hAnsiTheme="majorHAnsi" w:cstheme="majorHAnsi"/>
          <w:sz w:val="22"/>
          <w:szCs w:val="22"/>
        </w:rPr>
        <w:t>care</w:t>
      </w:r>
      <w:r w:rsidR="00057764">
        <w:rPr>
          <w:rFonts w:asciiTheme="majorHAnsi" w:hAnsiTheme="majorHAnsi" w:cstheme="majorHAnsi"/>
          <w:sz w:val="22"/>
          <w:szCs w:val="22"/>
        </w:rPr>
        <w:t>, offer</w:t>
      </w:r>
      <w:r w:rsidR="00262F4C">
        <w:rPr>
          <w:rFonts w:asciiTheme="majorHAnsi" w:hAnsiTheme="majorHAnsi" w:cstheme="majorHAnsi"/>
          <w:sz w:val="22"/>
          <w:szCs w:val="22"/>
        </w:rPr>
        <w:t>s</w:t>
      </w:r>
      <w:r w:rsidR="009813DC" w:rsidRPr="00057764">
        <w:rPr>
          <w:rFonts w:asciiTheme="majorHAnsi" w:hAnsiTheme="majorHAnsi" w:cstheme="majorHAnsi"/>
          <w:sz w:val="22"/>
          <w:szCs w:val="22"/>
        </w:rPr>
        <w:t xml:space="preserve"> flexib</w:t>
      </w:r>
      <w:r w:rsidR="00057764">
        <w:rPr>
          <w:rFonts w:asciiTheme="majorHAnsi" w:hAnsiTheme="majorHAnsi" w:cstheme="majorHAnsi"/>
          <w:sz w:val="22"/>
          <w:szCs w:val="22"/>
        </w:rPr>
        <w:t>ility</w:t>
      </w:r>
      <w:r w:rsidR="009813DC" w:rsidRPr="00057764">
        <w:rPr>
          <w:rFonts w:asciiTheme="majorHAnsi" w:hAnsiTheme="majorHAnsi" w:cstheme="majorHAnsi"/>
          <w:sz w:val="22"/>
          <w:szCs w:val="22"/>
        </w:rPr>
        <w:t xml:space="preserve"> and</w:t>
      </w:r>
      <w:r w:rsidR="00262F4C">
        <w:rPr>
          <w:rFonts w:asciiTheme="majorHAnsi" w:hAnsiTheme="majorHAnsi" w:cstheme="majorHAnsi"/>
          <w:sz w:val="22"/>
          <w:szCs w:val="22"/>
        </w:rPr>
        <w:t xml:space="preserve"> </w:t>
      </w:r>
      <w:r w:rsidR="00057764">
        <w:rPr>
          <w:rFonts w:asciiTheme="majorHAnsi" w:hAnsiTheme="majorHAnsi" w:cstheme="majorHAnsi"/>
          <w:sz w:val="22"/>
          <w:szCs w:val="22"/>
        </w:rPr>
        <w:t>can</w:t>
      </w:r>
      <w:r w:rsidR="009813DC" w:rsidRPr="00057764">
        <w:rPr>
          <w:rFonts w:asciiTheme="majorHAnsi" w:hAnsiTheme="majorHAnsi" w:cstheme="majorHAnsi"/>
          <w:sz w:val="22"/>
          <w:szCs w:val="22"/>
        </w:rPr>
        <w:t xml:space="preserve"> extend the reach of services.</w:t>
      </w:r>
    </w:p>
    <w:p w14:paraId="310AB814" w14:textId="77777777" w:rsidR="00177F15" w:rsidRDefault="00177F15" w:rsidP="00177F15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2C4E628B" w14:textId="7448BD33" w:rsidR="00177F15" w:rsidRDefault="001E0D20" w:rsidP="00177F15">
      <w:pPr>
        <w:spacing w:after="0"/>
        <w:rPr>
          <w:rFonts w:asciiTheme="majorHAnsi" w:hAnsiTheme="majorHAnsi" w:cstheme="majorHAnsi"/>
          <w:sz w:val="22"/>
          <w:szCs w:val="22"/>
        </w:rPr>
      </w:pPr>
      <w:r w:rsidRPr="00E3715E">
        <w:rPr>
          <w:rFonts w:asciiTheme="majorHAnsi" w:hAnsiTheme="majorHAnsi" w:cstheme="majorHAnsi"/>
          <w:sz w:val="22"/>
          <w:szCs w:val="22"/>
        </w:rPr>
        <w:t>T</w:t>
      </w:r>
      <w:r w:rsidR="00B50736" w:rsidRPr="00E3715E">
        <w:rPr>
          <w:rFonts w:asciiTheme="majorHAnsi" w:hAnsiTheme="majorHAnsi" w:cstheme="majorHAnsi"/>
          <w:sz w:val="22"/>
          <w:szCs w:val="22"/>
        </w:rPr>
        <w:t xml:space="preserve">he benefits of </w:t>
      </w:r>
      <w:r w:rsidR="00A058A9">
        <w:rPr>
          <w:rFonts w:asciiTheme="majorHAnsi" w:hAnsiTheme="majorHAnsi" w:cstheme="majorHAnsi"/>
          <w:sz w:val="22"/>
          <w:szCs w:val="22"/>
        </w:rPr>
        <w:t>teleaudiology</w:t>
      </w:r>
      <w:r w:rsidR="00B50736" w:rsidRPr="00E3715E">
        <w:rPr>
          <w:rFonts w:asciiTheme="majorHAnsi" w:hAnsiTheme="majorHAnsi" w:cstheme="majorHAnsi"/>
          <w:sz w:val="22"/>
          <w:szCs w:val="22"/>
        </w:rPr>
        <w:t xml:space="preserve"> </w:t>
      </w:r>
      <w:r w:rsidRPr="00E3715E">
        <w:rPr>
          <w:rFonts w:asciiTheme="majorHAnsi" w:hAnsiTheme="majorHAnsi" w:cstheme="majorHAnsi"/>
          <w:sz w:val="22"/>
          <w:szCs w:val="22"/>
        </w:rPr>
        <w:t>will affect</w:t>
      </w:r>
      <w:r w:rsidR="00CE4943" w:rsidRPr="00E3715E">
        <w:rPr>
          <w:rFonts w:asciiTheme="majorHAnsi" w:hAnsiTheme="majorHAnsi" w:cstheme="majorHAnsi"/>
          <w:sz w:val="22"/>
          <w:szCs w:val="22"/>
        </w:rPr>
        <w:t xml:space="preserve"> both </w:t>
      </w:r>
      <w:r w:rsidR="00945916" w:rsidRPr="00E3715E">
        <w:rPr>
          <w:rFonts w:asciiTheme="majorHAnsi" w:hAnsiTheme="majorHAnsi" w:cstheme="majorHAnsi"/>
          <w:sz w:val="22"/>
          <w:szCs w:val="22"/>
        </w:rPr>
        <w:t>clients</w:t>
      </w:r>
      <w:r w:rsidR="00CE4943" w:rsidRPr="00E3715E">
        <w:rPr>
          <w:rFonts w:asciiTheme="majorHAnsi" w:hAnsiTheme="majorHAnsi" w:cstheme="majorHAnsi"/>
          <w:sz w:val="22"/>
          <w:szCs w:val="22"/>
        </w:rPr>
        <w:t xml:space="preserve"> and </w:t>
      </w:r>
      <w:r w:rsidR="00D756B5">
        <w:rPr>
          <w:rFonts w:asciiTheme="majorHAnsi" w:hAnsiTheme="majorHAnsi" w:cstheme="majorHAnsi"/>
          <w:sz w:val="22"/>
          <w:szCs w:val="22"/>
        </w:rPr>
        <w:t>practitioners</w:t>
      </w:r>
      <w:r w:rsidR="00D756B5" w:rsidRPr="00E3715E">
        <w:rPr>
          <w:rFonts w:asciiTheme="majorHAnsi" w:hAnsiTheme="majorHAnsi" w:cstheme="majorHAnsi"/>
          <w:sz w:val="22"/>
          <w:szCs w:val="22"/>
        </w:rPr>
        <w:t xml:space="preserve"> </w:t>
      </w:r>
      <w:r w:rsidR="008877BB" w:rsidRPr="00E3715E">
        <w:rPr>
          <w:rFonts w:asciiTheme="majorHAnsi" w:hAnsiTheme="majorHAnsi" w:cstheme="majorHAnsi"/>
          <w:sz w:val="22"/>
          <w:szCs w:val="22"/>
        </w:rPr>
        <w:t>at every touchpoint</w:t>
      </w:r>
      <w:r w:rsidR="00FE5426" w:rsidRPr="00E3715E">
        <w:rPr>
          <w:rFonts w:asciiTheme="majorHAnsi" w:hAnsiTheme="majorHAnsi" w:cstheme="majorHAnsi"/>
          <w:sz w:val="22"/>
          <w:szCs w:val="22"/>
        </w:rPr>
        <w:t>.</w:t>
      </w:r>
      <w:r w:rsidR="00CE4943" w:rsidRPr="00E3715E">
        <w:rPr>
          <w:rFonts w:asciiTheme="majorHAnsi" w:hAnsiTheme="majorHAnsi" w:cstheme="majorHAnsi"/>
          <w:sz w:val="22"/>
          <w:szCs w:val="22"/>
        </w:rPr>
        <w:t xml:space="preserve"> </w:t>
      </w:r>
      <w:r w:rsidR="00FE5426" w:rsidRPr="00E3715E">
        <w:rPr>
          <w:rFonts w:asciiTheme="majorHAnsi" w:hAnsiTheme="majorHAnsi" w:cstheme="majorHAnsi"/>
          <w:sz w:val="22"/>
          <w:szCs w:val="22"/>
        </w:rPr>
        <w:t>If done well, it will</w:t>
      </w:r>
      <w:r w:rsidR="00CE4943" w:rsidRPr="00E3715E">
        <w:rPr>
          <w:rFonts w:asciiTheme="majorHAnsi" w:hAnsiTheme="majorHAnsi" w:cstheme="majorHAnsi"/>
          <w:sz w:val="22"/>
          <w:szCs w:val="22"/>
        </w:rPr>
        <w:t xml:space="preserve"> </w:t>
      </w:r>
      <w:r w:rsidR="00EC616D" w:rsidRPr="00E3715E">
        <w:rPr>
          <w:rFonts w:asciiTheme="majorHAnsi" w:hAnsiTheme="majorHAnsi" w:cstheme="majorHAnsi"/>
          <w:sz w:val="22"/>
          <w:szCs w:val="22"/>
        </w:rPr>
        <w:t>ensure</w:t>
      </w:r>
      <w:r w:rsidR="00DB412C" w:rsidRPr="00E3715E">
        <w:rPr>
          <w:rFonts w:asciiTheme="majorHAnsi" w:hAnsiTheme="majorHAnsi" w:cstheme="majorHAnsi"/>
          <w:sz w:val="22"/>
          <w:szCs w:val="22"/>
        </w:rPr>
        <w:t xml:space="preserve"> an</w:t>
      </w:r>
      <w:r w:rsidR="00FE5426" w:rsidRPr="00E3715E">
        <w:rPr>
          <w:rFonts w:asciiTheme="majorHAnsi" w:hAnsiTheme="majorHAnsi" w:cstheme="majorHAnsi"/>
          <w:sz w:val="22"/>
          <w:szCs w:val="22"/>
        </w:rPr>
        <w:t>d</w:t>
      </w:r>
      <w:r w:rsidR="00DB412C" w:rsidRPr="00E3715E">
        <w:rPr>
          <w:rFonts w:asciiTheme="majorHAnsi" w:hAnsiTheme="majorHAnsi" w:cstheme="majorHAnsi"/>
          <w:sz w:val="22"/>
          <w:szCs w:val="22"/>
        </w:rPr>
        <w:t xml:space="preserve"> maintain</w:t>
      </w:r>
      <w:r w:rsidR="00EC616D" w:rsidRPr="00E3715E">
        <w:rPr>
          <w:rFonts w:asciiTheme="majorHAnsi" w:hAnsiTheme="majorHAnsi" w:cstheme="majorHAnsi"/>
          <w:sz w:val="22"/>
          <w:szCs w:val="22"/>
        </w:rPr>
        <w:t xml:space="preserve"> great outcomes and equity of access to high quality </w:t>
      </w:r>
      <w:r w:rsidR="00D756B5">
        <w:rPr>
          <w:rFonts w:asciiTheme="majorHAnsi" w:hAnsiTheme="majorHAnsi" w:cstheme="majorHAnsi"/>
          <w:sz w:val="22"/>
          <w:szCs w:val="22"/>
        </w:rPr>
        <w:t>hearing</w:t>
      </w:r>
      <w:r w:rsidR="00D756B5" w:rsidRPr="00E3715E">
        <w:rPr>
          <w:rFonts w:asciiTheme="majorHAnsi" w:hAnsiTheme="majorHAnsi" w:cstheme="majorHAnsi"/>
          <w:sz w:val="22"/>
          <w:szCs w:val="22"/>
        </w:rPr>
        <w:t xml:space="preserve"> </w:t>
      </w:r>
      <w:r w:rsidR="00EC616D" w:rsidRPr="00E3715E">
        <w:rPr>
          <w:rFonts w:asciiTheme="majorHAnsi" w:hAnsiTheme="majorHAnsi" w:cstheme="majorHAnsi"/>
          <w:sz w:val="22"/>
          <w:szCs w:val="22"/>
        </w:rPr>
        <w:t>care</w:t>
      </w:r>
      <w:r w:rsidR="008877BB" w:rsidRPr="00E3715E">
        <w:rPr>
          <w:rFonts w:asciiTheme="majorHAnsi" w:hAnsiTheme="majorHAnsi" w:cstheme="majorHAnsi"/>
          <w:sz w:val="22"/>
          <w:szCs w:val="22"/>
        </w:rPr>
        <w:t xml:space="preserve"> no matter where </w:t>
      </w:r>
      <w:r w:rsidR="00BF1331" w:rsidRPr="00E3715E">
        <w:rPr>
          <w:rFonts w:asciiTheme="majorHAnsi" w:hAnsiTheme="majorHAnsi" w:cstheme="majorHAnsi"/>
          <w:sz w:val="22"/>
          <w:szCs w:val="22"/>
        </w:rPr>
        <w:t xml:space="preserve">clients and </w:t>
      </w:r>
      <w:r w:rsidR="00A352DE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practitioners</w:t>
      </w:r>
      <w:r w:rsidR="008877BB" w:rsidRPr="00E3715E">
        <w:rPr>
          <w:rFonts w:asciiTheme="majorHAnsi" w:hAnsiTheme="majorHAnsi" w:cstheme="majorHAnsi"/>
          <w:sz w:val="22"/>
          <w:szCs w:val="22"/>
        </w:rPr>
        <w:t xml:space="preserve"> live or work</w:t>
      </w:r>
      <w:r w:rsidR="00276612" w:rsidRPr="00E3715E">
        <w:rPr>
          <w:rFonts w:asciiTheme="majorHAnsi" w:hAnsiTheme="majorHAnsi" w:cstheme="majorHAnsi"/>
          <w:sz w:val="22"/>
          <w:szCs w:val="22"/>
        </w:rPr>
        <w:t>.</w:t>
      </w:r>
    </w:p>
    <w:p w14:paraId="3E59B904" w14:textId="66269FF0" w:rsidR="00B2561A" w:rsidRDefault="00B2561A" w:rsidP="00177F15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5871D058" w14:textId="4AF25678" w:rsidR="00B2561A" w:rsidRDefault="00B2561A" w:rsidP="00B2561A">
      <w:pPr>
        <w:spacing w:after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 you can see, teleaudiology is a great tool that expands the practitioners</w:t>
      </w:r>
      <w:r w:rsidR="001552F0">
        <w:rPr>
          <w:rFonts w:asciiTheme="majorHAnsi" w:hAnsiTheme="majorHAnsi" w:cstheme="majorHAnsi"/>
          <w:sz w:val="22"/>
          <w:szCs w:val="22"/>
        </w:rPr>
        <w:t>’</w:t>
      </w:r>
      <w:r>
        <w:rPr>
          <w:rFonts w:asciiTheme="majorHAnsi" w:hAnsiTheme="majorHAnsi" w:cstheme="majorHAnsi"/>
          <w:sz w:val="22"/>
          <w:szCs w:val="22"/>
        </w:rPr>
        <w:t xml:space="preserve"> toolbox to </w:t>
      </w:r>
      <w:r w:rsidR="001552F0">
        <w:rPr>
          <w:rFonts w:asciiTheme="majorHAnsi" w:hAnsiTheme="majorHAnsi" w:cstheme="majorHAnsi"/>
          <w:sz w:val="22"/>
          <w:szCs w:val="22"/>
        </w:rPr>
        <w:t>increase</w:t>
      </w:r>
      <w:r>
        <w:rPr>
          <w:rFonts w:asciiTheme="majorHAnsi" w:hAnsiTheme="majorHAnsi" w:cstheme="majorHAnsi"/>
          <w:sz w:val="22"/>
          <w:szCs w:val="22"/>
        </w:rPr>
        <w:t xml:space="preserve"> flexibility and choice for consumers. It enhances rather than replaces</w:t>
      </w:r>
      <w:r w:rsidRPr="002D409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in--person</w:t>
      </w:r>
      <w:r w:rsidRPr="002D4097">
        <w:rPr>
          <w:rFonts w:asciiTheme="majorHAnsi" w:hAnsiTheme="majorHAnsi" w:cstheme="majorHAnsi"/>
          <w:sz w:val="22"/>
          <w:szCs w:val="22"/>
        </w:rPr>
        <w:t xml:space="preserve"> care </w:t>
      </w:r>
      <w:r>
        <w:rPr>
          <w:rFonts w:asciiTheme="majorHAnsi" w:hAnsiTheme="majorHAnsi" w:cstheme="majorHAnsi"/>
          <w:sz w:val="22"/>
          <w:szCs w:val="22"/>
        </w:rPr>
        <w:t>and allows practitioners to tailor service delivery so clients can access care</w:t>
      </w:r>
      <w:r w:rsidRPr="002D4097">
        <w:rPr>
          <w:rFonts w:asciiTheme="majorHAnsi" w:hAnsiTheme="majorHAnsi" w:cstheme="majorHAnsi"/>
          <w:sz w:val="22"/>
          <w:szCs w:val="22"/>
        </w:rPr>
        <w:t xml:space="preserve"> at a time and place that suits them.</w:t>
      </w:r>
    </w:p>
    <w:p w14:paraId="72D2B91D" w14:textId="7EEB3A00" w:rsidR="00B2561A" w:rsidRDefault="00B2561A" w:rsidP="00177F15">
      <w:pPr>
        <w:spacing w:after="0"/>
        <w:rPr>
          <w:rFonts w:asciiTheme="majorHAnsi" w:hAnsiTheme="majorHAnsi" w:cstheme="majorHAnsi"/>
          <w:sz w:val="22"/>
          <w:szCs w:val="22"/>
        </w:rPr>
      </w:pPr>
    </w:p>
    <w:p w14:paraId="5F459E50" w14:textId="5D16B61B" w:rsidR="00DA5C6E" w:rsidRPr="00177F15" w:rsidRDefault="00CD7F3C" w:rsidP="00CD7F3C">
      <w:pPr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  <w:bookmarkStart w:id="0" w:name="_Hlk87955146"/>
      <w:r w:rsidRPr="00974EEB">
        <w:rPr>
          <w:rFonts w:asciiTheme="majorHAnsi" w:hAnsiTheme="majorHAnsi" w:cstheme="majorHAnsi"/>
          <w:bCs/>
          <w:color w:val="000000"/>
          <w:sz w:val="22"/>
          <w:szCs w:val="22"/>
          <w:lang w:val="en-GB"/>
        </w:rPr>
        <w:t xml:space="preserve">We encourage you to get involved in </w:t>
      </w:r>
      <w:r>
        <w:rPr>
          <w:rFonts w:asciiTheme="majorHAnsi" w:hAnsiTheme="majorHAnsi" w:cstheme="majorHAnsi"/>
          <w:bCs/>
          <w:color w:val="000000"/>
          <w:sz w:val="22"/>
          <w:szCs w:val="22"/>
          <w:lang w:val="en-GB"/>
        </w:rPr>
        <w:t xml:space="preserve">the </w:t>
      </w:r>
      <w:r w:rsidRPr="00974EEB">
        <w:rPr>
          <w:rFonts w:asciiTheme="majorHAnsi" w:hAnsiTheme="majorHAnsi" w:cstheme="majorHAnsi"/>
          <w:bCs/>
          <w:color w:val="000000"/>
          <w:sz w:val="22"/>
          <w:szCs w:val="22"/>
          <w:lang w:val="en-GB"/>
        </w:rPr>
        <w:t>testing</w:t>
      </w:r>
      <w:r>
        <w:rPr>
          <w:rFonts w:asciiTheme="majorHAnsi" w:hAnsiTheme="majorHAnsi" w:cstheme="majorHAnsi"/>
          <w:bCs/>
          <w:color w:val="000000"/>
          <w:sz w:val="22"/>
          <w:szCs w:val="22"/>
          <w:lang w:val="en-GB"/>
        </w:rPr>
        <w:t xml:space="preserve"> phase to help</w:t>
      </w:r>
      <w:r w:rsidRPr="00974EEB">
        <w:rPr>
          <w:rFonts w:asciiTheme="majorHAnsi" w:hAnsiTheme="majorHAnsi" w:cstheme="majorHAnsi"/>
          <w:bCs/>
          <w:color w:val="000000"/>
          <w:sz w:val="22"/>
          <w:szCs w:val="22"/>
          <w:lang w:val="en-GB"/>
        </w:rPr>
        <w:t xml:space="preserve"> refine clarity, useability and relevance of the proposed guidelines</w:t>
      </w:r>
      <w:bookmarkEnd w:id="0"/>
      <w:r>
        <w:rPr>
          <w:rFonts w:asciiTheme="majorHAnsi" w:hAnsiTheme="majorHAnsi" w:cstheme="majorHAnsi"/>
          <w:bCs/>
          <w:color w:val="000000"/>
          <w:sz w:val="22"/>
          <w:szCs w:val="22"/>
          <w:lang w:val="en-GB"/>
        </w:rPr>
        <w:t xml:space="preserve"> </w:t>
      </w:r>
      <w:r w:rsidR="00E3715E" w:rsidRPr="00E3715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and</w:t>
      </w:r>
      <w:r w:rsidR="00277C55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be a part of</w:t>
      </w:r>
      <w:r w:rsidR="00E3715E" w:rsidRPr="00E3715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help</w:t>
      </w:r>
      <w:r w:rsidR="00277C55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ing</w:t>
      </w:r>
      <w:r w:rsidR="00E3715E" w:rsidRPr="00E3715E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prepare audiology for the future. </w:t>
      </w:r>
      <w:hyperlink r:id="rId10" w:history="1">
        <w:r w:rsidR="00E3715E" w:rsidRPr="00E3715E">
          <w:rPr>
            <w:rStyle w:val="Hyperlink"/>
            <w:rFonts w:asciiTheme="majorHAnsi" w:eastAsiaTheme="minorHAnsi" w:hAnsiTheme="majorHAnsi" w:cstheme="majorHAnsi"/>
            <w:color w:val="000000" w:themeColor="text1"/>
            <w:sz w:val="22"/>
            <w:szCs w:val="22"/>
            <w:lang w:val="en-GB"/>
          </w:rPr>
          <w:t>https://teleaudiologyguidelines.org.au/about-the-guidelines-project/</w:t>
        </w:r>
      </w:hyperlink>
    </w:p>
    <w:p w14:paraId="690FD838" w14:textId="1FE6C519" w:rsidR="00497C60" w:rsidRDefault="00497C60" w:rsidP="00177F15">
      <w:pPr>
        <w:spacing w:after="0"/>
        <w:rPr>
          <w:rStyle w:val="Hyperlink"/>
          <w:rFonts w:asciiTheme="majorHAnsi" w:eastAsiaTheme="minorHAnsi" w:hAnsiTheme="majorHAnsi" w:cstheme="majorHAnsi"/>
          <w:color w:val="000000" w:themeColor="text1"/>
          <w:sz w:val="22"/>
          <w:szCs w:val="22"/>
          <w:lang w:val="en-GB"/>
        </w:rPr>
      </w:pPr>
    </w:p>
    <w:p w14:paraId="5A29B67E" w14:textId="0D4AEB39" w:rsidR="00177F15" w:rsidRDefault="00177F15" w:rsidP="00177F15">
      <w:pPr>
        <w:spacing w:after="0"/>
        <w:rPr>
          <w:rStyle w:val="Hyperlink"/>
          <w:rFonts w:asciiTheme="majorHAnsi" w:eastAsiaTheme="minorHAnsi" w:hAnsiTheme="majorHAnsi" w:cstheme="majorHAnsi"/>
          <w:color w:val="000000" w:themeColor="text1"/>
          <w:sz w:val="22"/>
          <w:szCs w:val="22"/>
          <w:lang w:val="en-GB"/>
        </w:rPr>
      </w:pPr>
    </w:p>
    <w:p w14:paraId="0E2EAF52" w14:textId="30088673" w:rsidR="00177F15" w:rsidRDefault="00177F15" w:rsidP="00177F15">
      <w:pPr>
        <w:spacing w:after="0"/>
        <w:rPr>
          <w:rStyle w:val="Hyperlink"/>
          <w:rFonts w:asciiTheme="majorHAnsi" w:eastAsiaTheme="minorHAnsi" w:hAnsiTheme="majorHAnsi" w:cstheme="majorHAnsi"/>
          <w:color w:val="000000" w:themeColor="text1"/>
          <w:sz w:val="22"/>
          <w:szCs w:val="22"/>
          <w:lang w:val="en-GB"/>
        </w:rPr>
      </w:pPr>
    </w:p>
    <w:p w14:paraId="521AC351" w14:textId="77777777" w:rsidR="00177F15" w:rsidRDefault="00177F15" w:rsidP="00177F15">
      <w:pPr>
        <w:spacing w:after="0"/>
        <w:rPr>
          <w:rStyle w:val="Hyperlink"/>
          <w:rFonts w:asciiTheme="majorHAnsi" w:eastAsiaTheme="minorHAnsi" w:hAnsiTheme="majorHAnsi" w:cstheme="majorHAnsi"/>
          <w:color w:val="000000" w:themeColor="text1"/>
          <w:sz w:val="22"/>
          <w:szCs w:val="22"/>
          <w:lang w:val="en-GB"/>
        </w:rPr>
      </w:pPr>
    </w:p>
    <w:p w14:paraId="627E93C5" w14:textId="77777777" w:rsidR="00D55028" w:rsidRDefault="00D55028" w:rsidP="00D55028">
      <w:pPr>
        <w:spacing w:after="0"/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</w:pPr>
      <w:r w:rsidRPr="00163076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 xml:space="preserve">This opinion piece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>was first</w:t>
      </w:r>
      <w:r w:rsidRPr="00163076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 xml:space="preserve"> published on Audiology Australia LinkedIn page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 xml:space="preserve"> (</w:t>
      </w:r>
      <w:r w:rsidRPr="00163076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>Audiology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 xml:space="preserve"> </w:t>
      </w:r>
      <w:r w:rsidRPr="00163076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>Australia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 xml:space="preserve">). It can also </w:t>
      </w:r>
      <w:r w:rsidRPr="00163076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>be shared direct fro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 xml:space="preserve">m </w:t>
      </w:r>
      <w:hyperlink r:id="rId11" w:history="1">
        <w:r w:rsidRPr="00DC61A6">
          <w:rPr>
            <w:rStyle w:val="Hyperlink"/>
            <w:rFonts w:ascii="Calibri" w:eastAsia="Times New Roman" w:hAnsi="Calibri" w:cs="Calibri"/>
            <w:i/>
            <w:iCs/>
            <w:sz w:val="22"/>
            <w:szCs w:val="22"/>
            <w:lang w:val="en-AU" w:eastAsia="en-GB"/>
          </w:rPr>
          <w:t>www.teleaudiologyguidelines.org.au</w:t>
        </w:r>
      </w:hyperlink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 xml:space="preserve"> </w:t>
      </w:r>
      <w:r w:rsidRPr="00163076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>via the share function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 xml:space="preserve">s on the </w:t>
      </w:r>
      <w:r w:rsidRPr="00163076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>page.</w:t>
      </w:r>
    </w:p>
    <w:p w14:paraId="795931DC" w14:textId="574D0737" w:rsidR="00043E3E" w:rsidRDefault="00043E3E" w:rsidP="00177F15">
      <w:pPr>
        <w:spacing w:after="0"/>
        <w:rPr>
          <w:rFonts w:asciiTheme="majorHAnsi" w:eastAsiaTheme="minorHAnsi" w:hAnsiTheme="majorHAnsi" w:cstheme="majorHAnsi"/>
          <w:color w:val="000000" w:themeColor="text1"/>
          <w:sz w:val="22"/>
          <w:szCs w:val="22"/>
          <w:u w:val="single"/>
          <w:lang w:val="en-GB"/>
        </w:rPr>
      </w:pPr>
    </w:p>
    <w:p w14:paraId="411AB687" w14:textId="38D921F3" w:rsidR="00701C68" w:rsidRDefault="00701C68" w:rsidP="00177F15">
      <w:pPr>
        <w:spacing w:after="0"/>
        <w:rPr>
          <w:rFonts w:asciiTheme="majorHAnsi" w:eastAsiaTheme="minorHAnsi" w:hAnsiTheme="majorHAnsi" w:cstheme="majorHAnsi"/>
          <w:color w:val="000000" w:themeColor="text1"/>
          <w:sz w:val="22"/>
          <w:szCs w:val="22"/>
          <w:u w:val="single"/>
          <w:lang w:val="en-GB"/>
        </w:rPr>
      </w:pPr>
    </w:p>
    <w:p w14:paraId="7CF836FF" w14:textId="77777777" w:rsidR="00701C68" w:rsidRDefault="00701C68" w:rsidP="00177F15">
      <w:pPr>
        <w:spacing w:after="0"/>
        <w:rPr>
          <w:rFonts w:asciiTheme="majorHAnsi" w:eastAsiaTheme="minorHAnsi" w:hAnsiTheme="majorHAnsi" w:cstheme="majorHAnsi"/>
          <w:color w:val="000000" w:themeColor="text1"/>
          <w:sz w:val="22"/>
          <w:szCs w:val="22"/>
          <w:u w:val="single"/>
          <w:lang w:val="en-GB"/>
        </w:rPr>
      </w:pPr>
    </w:p>
    <w:p w14:paraId="42436442" w14:textId="738AD051" w:rsidR="00277C55" w:rsidRPr="00277C55" w:rsidRDefault="00277C55" w:rsidP="00177F15">
      <w:pPr>
        <w:spacing w:after="0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GB"/>
        </w:rPr>
      </w:pPr>
    </w:p>
    <w:sectPr w:rsidR="00277C55" w:rsidRPr="00277C55" w:rsidSect="009B7F45">
      <w:headerReference w:type="first" r:id="rId12"/>
      <w:pgSz w:w="11900" w:h="16820"/>
      <w:pgMar w:top="567" w:right="843" w:bottom="993" w:left="851" w:header="284" w:footer="42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3846" w14:textId="77777777" w:rsidR="00876EBF" w:rsidRDefault="00876EBF">
      <w:pPr>
        <w:spacing w:after="0"/>
      </w:pPr>
      <w:r>
        <w:separator/>
      </w:r>
    </w:p>
  </w:endnote>
  <w:endnote w:type="continuationSeparator" w:id="0">
    <w:p w14:paraId="63260005" w14:textId="77777777" w:rsidR="00876EBF" w:rsidRDefault="00876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7F3E" w14:textId="77777777" w:rsidR="00876EBF" w:rsidRDefault="00876EBF">
      <w:pPr>
        <w:spacing w:after="0"/>
      </w:pPr>
      <w:r>
        <w:separator/>
      </w:r>
    </w:p>
  </w:footnote>
  <w:footnote w:type="continuationSeparator" w:id="0">
    <w:p w14:paraId="5FC8EDEF" w14:textId="77777777" w:rsidR="00876EBF" w:rsidRDefault="00876E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AF7C" w14:textId="77777777" w:rsidR="0022586C" w:rsidRDefault="0022586C">
    <w:pPr>
      <w:pStyle w:val="Header"/>
    </w:pPr>
  </w:p>
  <w:p w14:paraId="39FA19CA" w14:textId="7A321635" w:rsidR="0022586C" w:rsidRDefault="0022586C" w:rsidP="00470E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C6D"/>
    <w:multiLevelType w:val="hybridMultilevel"/>
    <w:tmpl w:val="A51A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149"/>
    <w:multiLevelType w:val="multilevel"/>
    <w:tmpl w:val="EE44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F368C5"/>
    <w:multiLevelType w:val="hybridMultilevel"/>
    <w:tmpl w:val="12467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A72BD"/>
    <w:multiLevelType w:val="hybridMultilevel"/>
    <w:tmpl w:val="82EC157E"/>
    <w:lvl w:ilvl="0" w:tplc="70806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B4EEB"/>
    <w:multiLevelType w:val="hybridMultilevel"/>
    <w:tmpl w:val="AC68C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34487"/>
    <w:multiLevelType w:val="hybridMultilevel"/>
    <w:tmpl w:val="43A6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F5B"/>
    <w:multiLevelType w:val="hybridMultilevel"/>
    <w:tmpl w:val="FC4C7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BE03E2"/>
    <w:multiLevelType w:val="hybridMultilevel"/>
    <w:tmpl w:val="695EB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25992"/>
    <w:multiLevelType w:val="multilevel"/>
    <w:tmpl w:val="1A36F0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A4EC0"/>
    <w:multiLevelType w:val="hybridMultilevel"/>
    <w:tmpl w:val="D9C2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47A97"/>
    <w:multiLevelType w:val="hybridMultilevel"/>
    <w:tmpl w:val="7EC00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5215B"/>
    <w:multiLevelType w:val="hybridMultilevel"/>
    <w:tmpl w:val="926C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320E6"/>
    <w:multiLevelType w:val="hybridMultilevel"/>
    <w:tmpl w:val="8588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F3651"/>
    <w:multiLevelType w:val="hybridMultilevel"/>
    <w:tmpl w:val="1AC67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1FDF"/>
    <w:multiLevelType w:val="hybridMultilevel"/>
    <w:tmpl w:val="BFCC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01766"/>
    <w:multiLevelType w:val="hybridMultilevel"/>
    <w:tmpl w:val="C5B2C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0737"/>
    <w:multiLevelType w:val="hybridMultilevel"/>
    <w:tmpl w:val="B80073F0"/>
    <w:lvl w:ilvl="0" w:tplc="2CBEEDC8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402AD1"/>
    <w:multiLevelType w:val="hybridMultilevel"/>
    <w:tmpl w:val="B5F2B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84333"/>
    <w:multiLevelType w:val="hybridMultilevel"/>
    <w:tmpl w:val="62A25F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E04ACD"/>
    <w:multiLevelType w:val="hybridMultilevel"/>
    <w:tmpl w:val="AB6E1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43D93"/>
    <w:multiLevelType w:val="hybridMultilevel"/>
    <w:tmpl w:val="6F6C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16B83"/>
    <w:multiLevelType w:val="hybridMultilevel"/>
    <w:tmpl w:val="8A263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EC0C5B"/>
    <w:multiLevelType w:val="hybridMultilevel"/>
    <w:tmpl w:val="6EDA0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16496B"/>
    <w:multiLevelType w:val="hybridMultilevel"/>
    <w:tmpl w:val="A5F40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01B7F"/>
    <w:multiLevelType w:val="hybridMultilevel"/>
    <w:tmpl w:val="831E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D1F0C"/>
    <w:multiLevelType w:val="multilevel"/>
    <w:tmpl w:val="77C0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4C40E5"/>
    <w:multiLevelType w:val="hybridMultilevel"/>
    <w:tmpl w:val="51BA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D1C2F"/>
    <w:multiLevelType w:val="hybridMultilevel"/>
    <w:tmpl w:val="BA7A7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E75659"/>
    <w:multiLevelType w:val="hybridMultilevel"/>
    <w:tmpl w:val="B7CC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E4968"/>
    <w:multiLevelType w:val="hybridMultilevel"/>
    <w:tmpl w:val="C0B67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C41408"/>
    <w:multiLevelType w:val="hybridMultilevel"/>
    <w:tmpl w:val="4D0AE618"/>
    <w:lvl w:ilvl="0" w:tplc="9B6E5D0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40C70"/>
    <w:multiLevelType w:val="hybridMultilevel"/>
    <w:tmpl w:val="CA92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6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31"/>
  </w:num>
  <w:num w:numId="9">
    <w:abstractNumId w:val="14"/>
  </w:num>
  <w:num w:numId="10">
    <w:abstractNumId w:val="19"/>
  </w:num>
  <w:num w:numId="11">
    <w:abstractNumId w:val="6"/>
  </w:num>
  <w:num w:numId="12">
    <w:abstractNumId w:val="21"/>
  </w:num>
  <w:num w:numId="13">
    <w:abstractNumId w:val="16"/>
  </w:num>
  <w:num w:numId="14">
    <w:abstractNumId w:val="27"/>
  </w:num>
  <w:num w:numId="15">
    <w:abstractNumId w:val="8"/>
  </w:num>
  <w:num w:numId="16">
    <w:abstractNumId w:val="29"/>
  </w:num>
  <w:num w:numId="17">
    <w:abstractNumId w:val="4"/>
  </w:num>
  <w:num w:numId="18">
    <w:abstractNumId w:val="22"/>
  </w:num>
  <w:num w:numId="19">
    <w:abstractNumId w:val="30"/>
  </w:num>
  <w:num w:numId="20">
    <w:abstractNumId w:val="10"/>
  </w:num>
  <w:num w:numId="21">
    <w:abstractNumId w:val="17"/>
  </w:num>
  <w:num w:numId="22">
    <w:abstractNumId w:val="28"/>
  </w:num>
  <w:num w:numId="23">
    <w:abstractNumId w:val="11"/>
  </w:num>
  <w:num w:numId="24">
    <w:abstractNumId w:val="25"/>
  </w:num>
  <w:num w:numId="25">
    <w:abstractNumId w:val="1"/>
  </w:num>
  <w:num w:numId="26">
    <w:abstractNumId w:val="13"/>
  </w:num>
  <w:num w:numId="27">
    <w:abstractNumId w:val="23"/>
  </w:num>
  <w:num w:numId="28">
    <w:abstractNumId w:val="7"/>
  </w:num>
  <w:num w:numId="29">
    <w:abstractNumId w:val="24"/>
  </w:num>
  <w:num w:numId="30">
    <w:abstractNumId w:val="15"/>
  </w:num>
  <w:num w:numId="31">
    <w:abstractNumId w:val="2"/>
  </w:num>
  <w:num w:numId="32">
    <w:abstractNumId w:val="2"/>
  </w:num>
  <w:num w:numId="3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C9"/>
    <w:rsid w:val="00002B50"/>
    <w:rsid w:val="00005F03"/>
    <w:rsid w:val="0001280E"/>
    <w:rsid w:val="0001457D"/>
    <w:rsid w:val="000154D9"/>
    <w:rsid w:val="00034C16"/>
    <w:rsid w:val="00043E3E"/>
    <w:rsid w:val="000523C6"/>
    <w:rsid w:val="00057764"/>
    <w:rsid w:val="000829F0"/>
    <w:rsid w:val="00085EFB"/>
    <w:rsid w:val="000D6497"/>
    <w:rsid w:val="000D7DE9"/>
    <w:rsid w:val="000E168F"/>
    <w:rsid w:val="000E52D0"/>
    <w:rsid w:val="000E7A42"/>
    <w:rsid w:val="00101F1C"/>
    <w:rsid w:val="00104569"/>
    <w:rsid w:val="001074FA"/>
    <w:rsid w:val="00131676"/>
    <w:rsid w:val="00131769"/>
    <w:rsid w:val="00133820"/>
    <w:rsid w:val="00135D51"/>
    <w:rsid w:val="0014537C"/>
    <w:rsid w:val="0014702C"/>
    <w:rsid w:val="001478CC"/>
    <w:rsid w:val="001552F0"/>
    <w:rsid w:val="001604F6"/>
    <w:rsid w:val="001646F9"/>
    <w:rsid w:val="00167DD6"/>
    <w:rsid w:val="00177669"/>
    <w:rsid w:val="00177F15"/>
    <w:rsid w:val="00183E3D"/>
    <w:rsid w:val="00194A89"/>
    <w:rsid w:val="001B00DA"/>
    <w:rsid w:val="001B4542"/>
    <w:rsid w:val="001B57A7"/>
    <w:rsid w:val="001C14CF"/>
    <w:rsid w:val="001E0D20"/>
    <w:rsid w:val="001E6C89"/>
    <w:rsid w:val="0020020F"/>
    <w:rsid w:val="002042FD"/>
    <w:rsid w:val="00205285"/>
    <w:rsid w:val="00207A81"/>
    <w:rsid w:val="002232ED"/>
    <w:rsid w:val="00224344"/>
    <w:rsid w:val="0022586C"/>
    <w:rsid w:val="00227445"/>
    <w:rsid w:val="00227F0C"/>
    <w:rsid w:val="0023468D"/>
    <w:rsid w:val="002420D0"/>
    <w:rsid w:val="002427FC"/>
    <w:rsid w:val="00252CB3"/>
    <w:rsid w:val="0026218B"/>
    <w:rsid w:val="00262F4C"/>
    <w:rsid w:val="00264DD6"/>
    <w:rsid w:val="00271F23"/>
    <w:rsid w:val="002724C9"/>
    <w:rsid w:val="00276612"/>
    <w:rsid w:val="00277C55"/>
    <w:rsid w:val="002A6311"/>
    <w:rsid w:val="002A7D6A"/>
    <w:rsid w:val="002C2DB5"/>
    <w:rsid w:val="002C3C2B"/>
    <w:rsid w:val="002C4300"/>
    <w:rsid w:val="002D4097"/>
    <w:rsid w:val="002E15C9"/>
    <w:rsid w:val="003241DB"/>
    <w:rsid w:val="00327246"/>
    <w:rsid w:val="00344125"/>
    <w:rsid w:val="00351590"/>
    <w:rsid w:val="00355CC0"/>
    <w:rsid w:val="00356512"/>
    <w:rsid w:val="003754D8"/>
    <w:rsid w:val="00383946"/>
    <w:rsid w:val="00390459"/>
    <w:rsid w:val="00396255"/>
    <w:rsid w:val="003A5BEA"/>
    <w:rsid w:val="003B22D9"/>
    <w:rsid w:val="003B7FBA"/>
    <w:rsid w:val="003C1307"/>
    <w:rsid w:val="003C3E57"/>
    <w:rsid w:val="003E0F81"/>
    <w:rsid w:val="003F7E92"/>
    <w:rsid w:val="00407F2A"/>
    <w:rsid w:val="0041647B"/>
    <w:rsid w:val="00416DEB"/>
    <w:rsid w:val="0045109C"/>
    <w:rsid w:val="0045276F"/>
    <w:rsid w:val="00452DC8"/>
    <w:rsid w:val="004558F3"/>
    <w:rsid w:val="00470E4D"/>
    <w:rsid w:val="004921CF"/>
    <w:rsid w:val="00496AE4"/>
    <w:rsid w:val="00497C60"/>
    <w:rsid w:val="004B01BE"/>
    <w:rsid w:val="004B0270"/>
    <w:rsid w:val="004C260B"/>
    <w:rsid w:val="004C43BF"/>
    <w:rsid w:val="004C5F03"/>
    <w:rsid w:val="004C72E6"/>
    <w:rsid w:val="004D4F05"/>
    <w:rsid w:val="004E69D4"/>
    <w:rsid w:val="004E6D2E"/>
    <w:rsid w:val="004F382C"/>
    <w:rsid w:val="004F6AD9"/>
    <w:rsid w:val="0052671E"/>
    <w:rsid w:val="0053522A"/>
    <w:rsid w:val="0054516F"/>
    <w:rsid w:val="00560B1E"/>
    <w:rsid w:val="00560F74"/>
    <w:rsid w:val="0056538B"/>
    <w:rsid w:val="00573A06"/>
    <w:rsid w:val="00574ECA"/>
    <w:rsid w:val="00581E44"/>
    <w:rsid w:val="005A3AA9"/>
    <w:rsid w:val="005C0FD4"/>
    <w:rsid w:val="005F37CB"/>
    <w:rsid w:val="0060121D"/>
    <w:rsid w:val="006038D9"/>
    <w:rsid w:val="00622A29"/>
    <w:rsid w:val="00646567"/>
    <w:rsid w:val="00651982"/>
    <w:rsid w:val="00651B36"/>
    <w:rsid w:val="0066230F"/>
    <w:rsid w:val="00667C3F"/>
    <w:rsid w:val="00676F81"/>
    <w:rsid w:val="00687E2A"/>
    <w:rsid w:val="00694DA0"/>
    <w:rsid w:val="006A2381"/>
    <w:rsid w:val="006A537B"/>
    <w:rsid w:val="006C0514"/>
    <w:rsid w:val="006C0ACE"/>
    <w:rsid w:val="006C3050"/>
    <w:rsid w:val="006E1994"/>
    <w:rsid w:val="006E1F31"/>
    <w:rsid w:val="006F74B7"/>
    <w:rsid w:val="00701C68"/>
    <w:rsid w:val="00716087"/>
    <w:rsid w:val="007205C0"/>
    <w:rsid w:val="00737075"/>
    <w:rsid w:val="00745033"/>
    <w:rsid w:val="00756620"/>
    <w:rsid w:val="00764E44"/>
    <w:rsid w:val="00767EE5"/>
    <w:rsid w:val="00770E7E"/>
    <w:rsid w:val="00773FC0"/>
    <w:rsid w:val="00780514"/>
    <w:rsid w:val="007831BA"/>
    <w:rsid w:val="007934EF"/>
    <w:rsid w:val="0079475A"/>
    <w:rsid w:val="007A604A"/>
    <w:rsid w:val="007B201A"/>
    <w:rsid w:val="007C1C0D"/>
    <w:rsid w:val="007C3491"/>
    <w:rsid w:val="007C3B98"/>
    <w:rsid w:val="007C3DA2"/>
    <w:rsid w:val="007D5078"/>
    <w:rsid w:val="007F15C8"/>
    <w:rsid w:val="007F3F6C"/>
    <w:rsid w:val="008046E5"/>
    <w:rsid w:val="00810990"/>
    <w:rsid w:val="00811A69"/>
    <w:rsid w:val="0081690E"/>
    <w:rsid w:val="00822D50"/>
    <w:rsid w:val="00824805"/>
    <w:rsid w:val="00827B29"/>
    <w:rsid w:val="008335E5"/>
    <w:rsid w:val="008431DF"/>
    <w:rsid w:val="008578F6"/>
    <w:rsid w:val="008613C8"/>
    <w:rsid w:val="00871E06"/>
    <w:rsid w:val="008721EE"/>
    <w:rsid w:val="00876EBF"/>
    <w:rsid w:val="00884B40"/>
    <w:rsid w:val="008877BB"/>
    <w:rsid w:val="00891D63"/>
    <w:rsid w:val="00897CB5"/>
    <w:rsid w:val="008D158E"/>
    <w:rsid w:val="008E21C6"/>
    <w:rsid w:val="00906398"/>
    <w:rsid w:val="00914A12"/>
    <w:rsid w:val="00925BF2"/>
    <w:rsid w:val="0092694A"/>
    <w:rsid w:val="00937AF1"/>
    <w:rsid w:val="0094521D"/>
    <w:rsid w:val="00945916"/>
    <w:rsid w:val="00951B27"/>
    <w:rsid w:val="009538C2"/>
    <w:rsid w:val="00957D39"/>
    <w:rsid w:val="009602F9"/>
    <w:rsid w:val="00965825"/>
    <w:rsid w:val="00976E4C"/>
    <w:rsid w:val="00977E9F"/>
    <w:rsid w:val="009813DC"/>
    <w:rsid w:val="0099392E"/>
    <w:rsid w:val="009B1048"/>
    <w:rsid w:val="009B50A6"/>
    <w:rsid w:val="009B7F45"/>
    <w:rsid w:val="009C3F50"/>
    <w:rsid w:val="009C7E8F"/>
    <w:rsid w:val="009D387D"/>
    <w:rsid w:val="009E6F95"/>
    <w:rsid w:val="00A058A9"/>
    <w:rsid w:val="00A3179B"/>
    <w:rsid w:val="00A318E9"/>
    <w:rsid w:val="00A352DE"/>
    <w:rsid w:val="00A41DE6"/>
    <w:rsid w:val="00A4256B"/>
    <w:rsid w:val="00A53194"/>
    <w:rsid w:val="00A55DFF"/>
    <w:rsid w:val="00A63D74"/>
    <w:rsid w:val="00A70BDB"/>
    <w:rsid w:val="00A85B8F"/>
    <w:rsid w:val="00A953EA"/>
    <w:rsid w:val="00AA2103"/>
    <w:rsid w:val="00AA430A"/>
    <w:rsid w:val="00AB1EBD"/>
    <w:rsid w:val="00B151EB"/>
    <w:rsid w:val="00B22BF3"/>
    <w:rsid w:val="00B23D7F"/>
    <w:rsid w:val="00B2561A"/>
    <w:rsid w:val="00B308F7"/>
    <w:rsid w:val="00B33248"/>
    <w:rsid w:val="00B43D0A"/>
    <w:rsid w:val="00B50736"/>
    <w:rsid w:val="00B53660"/>
    <w:rsid w:val="00B60F5D"/>
    <w:rsid w:val="00B64057"/>
    <w:rsid w:val="00B66085"/>
    <w:rsid w:val="00B7240B"/>
    <w:rsid w:val="00B728C1"/>
    <w:rsid w:val="00B85F7C"/>
    <w:rsid w:val="00B92422"/>
    <w:rsid w:val="00B97D1D"/>
    <w:rsid w:val="00BA30BE"/>
    <w:rsid w:val="00BA3CB4"/>
    <w:rsid w:val="00BB05BC"/>
    <w:rsid w:val="00BC4659"/>
    <w:rsid w:val="00BD538B"/>
    <w:rsid w:val="00BD7FC2"/>
    <w:rsid w:val="00BE510A"/>
    <w:rsid w:val="00BE799D"/>
    <w:rsid w:val="00BF03B7"/>
    <w:rsid w:val="00BF1331"/>
    <w:rsid w:val="00BF4D45"/>
    <w:rsid w:val="00BF591E"/>
    <w:rsid w:val="00C11815"/>
    <w:rsid w:val="00C16631"/>
    <w:rsid w:val="00C22912"/>
    <w:rsid w:val="00C31E7C"/>
    <w:rsid w:val="00C34FB7"/>
    <w:rsid w:val="00C35A13"/>
    <w:rsid w:val="00C51FE3"/>
    <w:rsid w:val="00C525FA"/>
    <w:rsid w:val="00C93E24"/>
    <w:rsid w:val="00CA4132"/>
    <w:rsid w:val="00CA703F"/>
    <w:rsid w:val="00CC3E09"/>
    <w:rsid w:val="00CC7B7D"/>
    <w:rsid w:val="00CD6DBA"/>
    <w:rsid w:val="00CD7F3C"/>
    <w:rsid w:val="00CE4943"/>
    <w:rsid w:val="00CF415A"/>
    <w:rsid w:val="00D02395"/>
    <w:rsid w:val="00D037EB"/>
    <w:rsid w:val="00D046A4"/>
    <w:rsid w:val="00D301A8"/>
    <w:rsid w:val="00D33CEF"/>
    <w:rsid w:val="00D42E29"/>
    <w:rsid w:val="00D478D4"/>
    <w:rsid w:val="00D53409"/>
    <w:rsid w:val="00D55028"/>
    <w:rsid w:val="00D601FB"/>
    <w:rsid w:val="00D756B5"/>
    <w:rsid w:val="00D77AA8"/>
    <w:rsid w:val="00D83AEF"/>
    <w:rsid w:val="00D84C4A"/>
    <w:rsid w:val="00D872C2"/>
    <w:rsid w:val="00D91726"/>
    <w:rsid w:val="00DA4E9F"/>
    <w:rsid w:val="00DA5C6E"/>
    <w:rsid w:val="00DB12FC"/>
    <w:rsid w:val="00DB412C"/>
    <w:rsid w:val="00DC09E4"/>
    <w:rsid w:val="00DC152F"/>
    <w:rsid w:val="00DC4324"/>
    <w:rsid w:val="00DC4E42"/>
    <w:rsid w:val="00DC6205"/>
    <w:rsid w:val="00DE1571"/>
    <w:rsid w:val="00DE4306"/>
    <w:rsid w:val="00DF43FF"/>
    <w:rsid w:val="00DF4596"/>
    <w:rsid w:val="00E04430"/>
    <w:rsid w:val="00E17119"/>
    <w:rsid w:val="00E21058"/>
    <w:rsid w:val="00E30F29"/>
    <w:rsid w:val="00E3715E"/>
    <w:rsid w:val="00E4227C"/>
    <w:rsid w:val="00E46776"/>
    <w:rsid w:val="00E72DD6"/>
    <w:rsid w:val="00E75915"/>
    <w:rsid w:val="00E81662"/>
    <w:rsid w:val="00E858FB"/>
    <w:rsid w:val="00E86FD0"/>
    <w:rsid w:val="00E97EE8"/>
    <w:rsid w:val="00EC0539"/>
    <w:rsid w:val="00EC0E15"/>
    <w:rsid w:val="00EC1EA5"/>
    <w:rsid w:val="00EC2726"/>
    <w:rsid w:val="00EC616D"/>
    <w:rsid w:val="00EE3186"/>
    <w:rsid w:val="00EE7E6C"/>
    <w:rsid w:val="00EF64EC"/>
    <w:rsid w:val="00F0762F"/>
    <w:rsid w:val="00F14BE3"/>
    <w:rsid w:val="00F40A5B"/>
    <w:rsid w:val="00F42EEA"/>
    <w:rsid w:val="00F44048"/>
    <w:rsid w:val="00F51E9F"/>
    <w:rsid w:val="00F53551"/>
    <w:rsid w:val="00F56204"/>
    <w:rsid w:val="00F6704C"/>
    <w:rsid w:val="00F6707D"/>
    <w:rsid w:val="00F82555"/>
    <w:rsid w:val="00F84B76"/>
    <w:rsid w:val="00F9609C"/>
    <w:rsid w:val="00F96D1B"/>
    <w:rsid w:val="00FA277E"/>
    <w:rsid w:val="00FA38A2"/>
    <w:rsid w:val="00FB2011"/>
    <w:rsid w:val="00FD59C2"/>
    <w:rsid w:val="00FE3EFA"/>
    <w:rsid w:val="00FE5426"/>
    <w:rsid w:val="00FF4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EE9FC4"/>
  <w15:docId w15:val="{862BD483-D93A-3F4A-A8DC-773FF5D9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E15C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15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15C9"/>
  </w:style>
  <w:style w:type="paragraph" w:styleId="Footer">
    <w:name w:val="footer"/>
    <w:basedOn w:val="Normal"/>
    <w:link w:val="FooterChar"/>
    <w:uiPriority w:val="99"/>
    <w:unhideWhenUsed/>
    <w:rsid w:val="002E15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15C9"/>
  </w:style>
  <w:style w:type="paragraph" w:styleId="BalloonText">
    <w:name w:val="Balloon Text"/>
    <w:basedOn w:val="Normal"/>
    <w:link w:val="BalloonTextChar"/>
    <w:uiPriority w:val="99"/>
    <w:semiHidden/>
    <w:unhideWhenUsed/>
    <w:rsid w:val="00D023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0F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596"/>
    <w:pPr>
      <w:spacing w:after="0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4596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F4596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DF45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45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2586C"/>
  </w:style>
  <w:style w:type="character" w:customStyle="1" w:styleId="CommentTextChar">
    <w:name w:val="Comment Text Char"/>
    <w:basedOn w:val="DefaultParagraphFont"/>
    <w:link w:val="CommentText"/>
    <w:uiPriority w:val="99"/>
    <w:rsid w:val="002258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86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75915"/>
  </w:style>
  <w:style w:type="character" w:styleId="UnresolvedMention">
    <w:name w:val="Unresolved Mention"/>
    <w:basedOn w:val="DefaultParagraphFont"/>
    <w:uiPriority w:val="99"/>
    <w:semiHidden/>
    <w:unhideWhenUsed/>
    <w:rsid w:val="00E759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AD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58F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unhideWhenUsed/>
    <w:rsid w:val="00E858F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858FB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Strong">
    <w:name w:val="Strong"/>
    <w:basedOn w:val="DefaultParagraphFont"/>
    <w:uiPriority w:val="22"/>
    <w:qFormat/>
    <w:rsid w:val="00F40A5B"/>
    <w:rPr>
      <w:b/>
      <w:bCs/>
    </w:rPr>
  </w:style>
  <w:style w:type="paragraph" w:styleId="Revision">
    <w:name w:val="Revision"/>
    <w:hidden/>
    <w:uiPriority w:val="99"/>
    <w:semiHidden/>
    <w:rsid w:val="00BB05BC"/>
    <w:pPr>
      <w:spacing w:after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leaudiologyguidelines.org.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teleaudiologyguidelines.org.au/about-the-guidelines-projec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8D45001DFC040B395C2B6A1CC0952" ma:contentTypeVersion="13" ma:contentTypeDescription="Create a new document." ma:contentTypeScope="" ma:versionID="2a87b6adac845aa3d5ecf8c7ceda8fba">
  <xsd:schema xmlns:xsd="http://www.w3.org/2001/XMLSchema" xmlns:xs="http://www.w3.org/2001/XMLSchema" xmlns:p="http://schemas.microsoft.com/office/2006/metadata/properties" xmlns:ns2="95af8939-a9b7-4fad-9f62-df8e81ff9f0f" xmlns:ns3="03365443-4fa3-4360-8297-c1516292b7a7" targetNamespace="http://schemas.microsoft.com/office/2006/metadata/properties" ma:root="true" ma:fieldsID="688de65d466bf6030c7ab60e3c85cbb1" ns2:_="" ns3:_="">
    <xsd:import namespace="95af8939-a9b7-4fad-9f62-df8e81ff9f0f"/>
    <xsd:import namespace="03365443-4fa3-4360-8297-c1516292b7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939-a9b7-4fad-9f62-df8e81ff9f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65443-4fa3-4360-8297-c1516292b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6EA4C-9CE6-4748-A225-3749570D9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4B8D39-FB18-451F-BB3C-DCA36628E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73460-678C-4F91-A3F7-605FFF2A8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Karen Barfoot</cp:lastModifiedBy>
  <cp:revision>2</cp:revision>
  <cp:lastPrinted>2018-09-03T06:25:00Z</cp:lastPrinted>
  <dcterms:created xsi:type="dcterms:W3CDTF">2022-03-09T05:21:00Z</dcterms:created>
  <dcterms:modified xsi:type="dcterms:W3CDTF">2022-03-09T05:21:00Z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0x0101001008D45001DFC040B395C2B6A1CC0952</vt:lpwstr>
  </property>
</Properties>
</file>