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1478" w14:textId="2914D67D" w:rsidR="00547D7C" w:rsidRDefault="00547D7C" w:rsidP="00547D7C">
      <w:pP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F753608" w14:textId="77777777" w:rsidR="00547D7C" w:rsidRDefault="00547D7C" w:rsidP="003F2F1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5C9BAD4" w14:textId="57048AC1" w:rsidR="00547D7C" w:rsidRDefault="00743614" w:rsidP="003F2F1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March</w:t>
      </w:r>
      <w:r w:rsidR="00547D7C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2022</w:t>
      </w:r>
    </w:p>
    <w:p w14:paraId="12B796EA" w14:textId="28254EE3" w:rsidR="001B05CD" w:rsidRDefault="001B05CD" w:rsidP="003F2F1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3A501B51" w14:textId="77777777" w:rsidR="001B05CD" w:rsidRDefault="001B05CD" w:rsidP="003F2F1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4E3D8C5" w14:textId="77777777" w:rsidR="00547D7C" w:rsidRDefault="00547D7C" w:rsidP="003F2F1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4B7E6E52" w14:textId="08E16D6D" w:rsidR="00DA5C6E" w:rsidRDefault="00547D7C" w:rsidP="003F2F15">
      <w:pPr>
        <w:spacing w:after="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8A017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Developing teleaudiology guidelines for Australia</w:t>
      </w:r>
    </w:p>
    <w:p w14:paraId="5E6C6EEC" w14:textId="77777777" w:rsidR="003F2F15" w:rsidRPr="008E6691" w:rsidRDefault="003F2F15" w:rsidP="003F2F15">
      <w:pPr>
        <w:spacing w:after="0"/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08261C1C" w14:textId="77777777" w:rsidR="008A017F" w:rsidRPr="008E6691" w:rsidRDefault="008A017F" w:rsidP="003F2F15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</w:p>
    <w:p w14:paraId="1F852E56" w14:textId="77777777" w:rsidR="00547D7C" w:rsidRPr="008E6691" w:rsidRDefault="00547D7C" w:rsidP="003F2F15">
      <w:pPr>
        <w:tabs>
          <w:tab w:val="left" w:pos="4068"/>
        </w:tabs>
        <w:spacing w:after="0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8E6691">
        <w:rPr>
          <w:rFonts w:asciiTheme="majorHAnsi" w:hAnsiTheme="majorHAnsi" w:cstheme="majorHAnsi"/>
          <w:b/>
          <w:i/>
          <w:iCs/>
          <w:sz w:val="22"/>
          <w:szCs w:val="22"/>
        </w:rPr>
        <w:t>Author:</w:t>
      </w:r>
      <w:r w:rsidRPr="008E6691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2A7D6A" w:rsidRPr="008E6691">
        <w:rPr>
          <w:rFonts w:asciiTheme="majorHAnsi" w:hAnsiTheme="majorHAnsi" w:cstheme="majorHAnsi"/>
          <w:bCs/>
          <w:i/>
          <w:iCs/>
          <w:sz w:val="22"/>
          <w:szCs w:val="22"/>
        </w:rPr>
        <w:t>Dr Bec Bennett,</w:t>
      </w:r>
      <w:r w:rsidR="00FE3EFA" w:rsidRPr="008E6691">
        <w:rPr>
          <w:rStyle w:val="Strong"/>
          <w:rFonts w:asciiTheme="majorHAnsi" w:hAnsiTheme="majorHAnsi" w:cstheme="majorHAnsi"/>
          <w:bCs w:val="0"/>
          <w:i/>
          <w:iCs/>
          <w:sz w:val="22"/>
          <w:szCs w:val="22"/>
        </w:rPr>
        <w:t xml:space="preserve"> </w:t>
      </w:r>
      <w:r w:rsidR="002A7D6A" w:rsidRPr="008E6691">
        <w:rPr>
          <w:rStyle w:val="Strong"/>
          <w:rFonts w:asciiTheme="majorHAnsi" w:hAnsiTheme="majorHAnsi" w:cstheme="majorHAnsi"/>
          <w:b w:val="0"/>
          <w:i/>
          <w:iCs/>
          <w:sz w:val="22"/>
          <w:szCs w:val="22"/>
        </w:rPr>
        <w:t>Audiologist</w:t>
      </w:r>
      <w:r w:rsidR="005734B9" w:rsidRPr="008E6691">
        <w:rPr>
          <w:rStyle w:val="Strong"/>
          <w:rFonts w:asciiTheme="majorHAnsi" w:hAnsiTheme="majorHAnsi" w:cstheme="majorHAnsi"/>
          <w:b w:val="0"/>
          <w:i/>
          <w:iCs/>
          <w:sz w:val="22"/>
          <w:szCs w:val="22"/>
        </w:rPr>
        <w:t xml:space="preserve">, </w:t>
      </w:r>
      <w:r w:rsidR="002A7D6A" w:rsidRPr="008E6691">
        <w:rPr>
          <w:rStyle w:val="Strong"/>
          <w:rFonts w:asciiTheme="majorHAnsi" w:hAnsiTheme="majorHAnsi" w:cstheme="majorHAnsi"/>
          <w:b w:val="0"/>
          <w:i/>
          <w:iCs/>
          <w:sz w:val="22"/>
          <w:szCs w:val="22"/>
        </w:rPr>
        <w:t>Research Fellow and Chair of the</w:t>
      </w:r>
      <w:r w:rsidR="00B12CB8" w:rsidRPr="008E6691">
        <w:rPr>
          <w:rStyle w:val="Strong"/>
          <w:rFonts w:asciiTheme="majorHAnsi" w:hAnsiTheme="majorHAnsi" w:cstheme="majorHAnsi"/>
          <w:bCs w:val="0"/>
          <w:i/>
          <w:iCs/>
          <w:sz w:val="22"/>
          <w:szCs w:val="22"/>
        </w:rPr>
        <w:t xml:space="preserve"> </w:t>
      </w:r>
      <w:r w:rsidR="00FE3EFA" w:rsidRPr="008E6691">
        <w:rPr>
          <w:rFonts w:asciiTheme="majorHAnsi" w:hAnsiTheme="majorHAnsi" w:cstheme="majorHAnsi"/>
          <w:bCs/>
          <w:i/>
          <w:iCs/>
          <w:sz w:val="22"/>
          <w:szCs w:val="22"/>
        </w:rPr>
        <w:t>Teleaudiology Guidelines Working Group</w:t>
      </w:r>
    </w:p>
    <w:p w14:paraId="10AAE536" w14:textId="4FBAD840" w:rsidR="00F40A5B" w:rsidRPr="008E6691" w:rsidRDefault="00FE3EFA" w:rsidP="003F2F15">
      <w:pPr>
        <w:tabs>
          <w:tab w:val="left" w:pos="4068"/>
        </w:tabs>
        <w:spacing w:after="0"/>
        <w:ind w:left="357" w:hanging="357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8E6691">
        <w:rPr>
          <w:rFonts w:asciiTheme="majorHAnsi" w:hAnsiTheme="majorHAnsi" w:cstheme="majorHAnsi"/>
          <w:bCs/>
          <w:i/>
          <w:iCs/>
          <w:sz w:val="22"/>
          <w:szCs w:val="22"/>
        </w:rPr>
        <w:t>Member</w:t>
      </w:r>
      <w:r w:rsidR="00FC465D">
        <w:rPr>
          <w:rFonts w:asciiTheme="majorHAnsi" w:hAnsiTheme="majorHAnsi" w:cstheme="majorHAnsi"/>
          <w:bCs/>
          <w:i/>
          <w:iCs/>
          <w:sz w:val="22"/>
          <w:szCs w:val="22"/>
        </w:rPr>
        <w:t>.</w:t>
      </w:r>
    </w:p>
    <w:p w14:paraId="66C73A57" w14:textId="77777777" w:rsidR="003F2F15" w:rsidRPr="008E6691" w:rsidRDefault="003F2F15" w:rsidP="003F2F15">
      <w:pPr>
        <w:tabs>
          <w:tab w:val="left" w:pos="4068"/>
        </w:tabs>
        <w:spacing w:after="0"/>
        <w:ind w:left="357" w:hanging="357"/>
        <w:rPr>
          <w:rFonts w:asciiTheme="majorHAnsi" w:hAnsiTheme="majorHAnsi" w:cstheme="majorHAnsi"/>
          <w:b/>
          <w:i/>
          <w:iCs/>
          <w:sz w:val="22"/>
          <w:szCs w:val="22"/>
        </w:rPr>
      </w:pPr>
    </w:p>
    <w:p w14:paraId="22B9EAE8" w14:textId="77777777" w:rsidR="000E2D27" w:rsidRPr="008E6691" w:rsidRDefault="000E2D27" w:rsidP="003F2F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77BE48E2" w14:textId="57E4B2B1" w:rsidR="000E2D27" w:rsidRPr="008E6691" w:rsidRDefault="00423653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Teleaudiology usage over the past two years has surged as consumers and providers </w:t>
      </w:r>
      <w:r w:rsidR="00B4268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across the globe 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sought ways to safely access and deliver hearing healthcare. Ongoing well-being concerns, increasingly favourable perceptions towards teleaudiology</w:t>
      </w:r>
      <w:r w:rsidR="000E2D2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and government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financial support</w:t>
      </w:r>
      <w:r w:rsidR="000E2D2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all contribut</w:t>
      </w:r>
      <w:r w:rsidR="008E022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e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to </w:t>
      </w:r>
      <w:r w:rsidR="000E2D2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he continued growth of teleaudiology.</w:t>
      </w:r>
    </w:p>
    <w:p w14:paraId="39DC95FA" w14:textId="77777777" w:rsidR="003F2F15" w:rsidRPr="008E6691" w:rsidRDefault="003F2F15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</w:p>
    <w:p w14:paraId="45839DBB" w14:textId="5EAF8C39" w:rsidR="00237CCE" w:rsidRPr="008E6691" w:rsidRDefault="00A94BDE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While both users of hearing services (c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lients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) and hearing health practitioners are interested </w:t>
      </w:r>
      <w:r w:rsidR="007B07A0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in</w:t>
      </w:r>
      <w:r w:rsidR="007B07A0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teleaudiology</w:t>
      </w:r>
      <w:r w:rsidR="003112FC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,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skills, </w:t>
      </w:r>
      <w:r w:rsidR="000E2D2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training,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and resources</w:t>
      </w:r>
      <w:r w:rsidR="003112FC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need to be addressed</w:t>
      </w:r>
      <w:r w:rsidR="000F4E30">
        <w:rPr>
          <w:rStyle w:val="FootnoteReference"/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footnoteReference w:id="1"/>
      </w:r>
      <w:r w:rsidR="000F4E30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.</w:t>
      </w:r>
    </w:p>
    <w:p w14:paraId="4D707365" w14:textId="77777777" w:rsidR="003F2F15" w:rsidRPr="008E6691" w:rsidRDefault="003F2F15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</w:p>
    <w:p w14:paraId="6BA9D756" w14:textId="3E950558" w:rsidR="00237CCE" w:rsidRPr="008E6691" w:rsidRDefault="00352DE7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Audiology Australia is developing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teleaudi</w:t>
      </w:r>
      <w:r w:rsidR="00260E0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ology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guidelines to help empower hearing health practitioners to </w:t>
      </w:r>
      <w:r w:rsidR="00B4268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use</w:t>
      </w:r>
      <w:r w:rsidR="00B42681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teleaudiology as a hearing service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delivery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option</w:t>
      </w:r>
      <w:r w:rsidR="00970A49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.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Design of the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guidelines,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supported by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links to training and clinical resources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,</w:t>
      </w:r>
      <w:r w:rsidR="00237CC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is overseen by a </w:t>
      </w:r>
      <w:hyperlink r:id="rId8" w:history="1">
        <w:r w:rsidRPr="007B07A0">
          <w:rPr>
            <w:rStyle w:val="Hyperlink"/>
            <w:rFonts w:asciiTheme="majorHAnsi" w:eastAsiaTheme="minorHAnsi" w:hAnsiTheme="majorHAnsi" w:cstheme="majorHAnsi"/>
            <w:sz w:val="22"/>
            <w:szCs w:val="22"/>
            <w:lang w:val="en-GB"/>
          </w:rPr>
          <w:t>Working Group</w:t>
        </w:r>
      </w:hyperlink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representing consumer, practitioner, provider and research perspectives</w:t>
      </w:r>
      <w:r w:rsidR="007B7EAB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.</w:t>
      </w:r>
    </w:p>
    <w:p w14:paraId="1DD3C99D" w14:textId="77777777" w:rsidR="00237CCE" w:rsidRPr="008E6691" w:rsidRDefault="00237CCE" w:rsidP="008E6691">
      <w:pPr>
        <w:pStyle w:val="ListParagraph"/>
        <w:rPr>
          <w:rFonts w:asciiTheme="majorHAnsi" w:hAnsiTheme="majorHAnsi" w:cstheme="majorHAnsi"/>
          <w:color w:val="000000"/>
          <w:sz w:val="22"/>
          <w:szCs w:val="22"/>
        </w:rPr>
      </w:pPr>
    </w:p>
    <w:p w14:paraId="52899344" w14:textId="77777777" w:rsidR="006863D0" w:rsidRPr="008E6691" w:rsidRDefault="002A0DAA" w:rsidP="008E6691">
      <w:pPr>
        <w:spacing w:after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8E6691">
        <w:rPr>
          <w:rFonts w:asciiTheme="majorHAnsi" w:hAnsiTheme="majorHAnsi" w:cstheme="majorHAnsi"/>
          <w:b/>
          <w:bCs/>
          <w:color w:val="000000"/>
          <w:sz w:val="22"/>
          <w:szCs w:val="22"/>
        </w:rPr>
        <w:t>The</w:t>
      </w:r>
      <w:r w:rsidR="00BF03B7" w:rsidRPr="008E669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2A7D6A" w:rsidRPr="008E6691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evidence </w:t>
      </w:r>
      <w:r w:rsidR="002A7D6A" w:rsidRPr="008E6691">
        <w:rPr>
          <w:rFonts w:asciiTheme="majorHAnsi" w:hAnsiTheme="majorHAnsi" w:cstheme="majorHAnsi"/>
          <w:b/>
          <w:bCs/>
          <w:sz w:val="22"/>
          <w:szCs w:val="22"/>
        </w:rPr>
        <w:t>for teleaudiology as a service delivery option</w:t>
      </w:r>
      <w:r w:rsidR="006863D0" w:rsidRPr="008E6691">
        <w:rPr>
          <w:rStyle w:val="FootnoteReference"/>
          <w:rFonts w:asciiTheme="majorHAnsi" w:hAnsiTheme="majorHAnsi" w:cstheme="majorHAnsi"/>
          <w:b/>
          <w:bCs/>
          <w:color w:val="000000"/>
          <w:sz w:val="22"/>
          <w:szCs w:val="22"/>
        </w:rPr>
        <w:footnoteReference w:id="2"/>
      </w:r>
    </w:p>
    <w:p w14:paraId="0E845202" w14:textId="2791E84F" w:rsidR="000E2D27" w:rsidRPr="007B07A0" w:rsidRDefault="007B07A0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7B07A0"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DE3AE6" w:rsidRPr="007B07A0">
        <w:rPr>
          <w:rFonts w:asciiTheme="majorHAnsi" w:hAnsiTheme="majorHAnsi" w:cstheme="majorHAnsi"/>
          <w:color w:val="000000"/>
          <w:sz w:val="22"/>
          <w:szCs w:val="22"/>
        </w:rPr>
        <w:t>ractitioners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 significant</w:t>
      </w:r>
      <w:r w:rsidR="00DE3AE6" w:rsidRPr="007B07A0">
        <w:rPr>
          <w:rFonts w:asciiTheme="majorHAnsi" w:hAnsiTheme="majorHAnsi" w:cstheme="majorHAnsi"/>
          <w:color w:val="000000"/>
          <w:sz w:val="22"/>
          <w:szCs w:val="22"/>
        </w:rPr>
        <w:t>ly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 increase</w:t>
      </w:r>
      <w:r w:rsidR="00DE3AE6" w:rsidRPr="007B07A0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 the</w:t>
      </w:r>
      <w:r w:rsidR="00DE3AE6" w:rsidRPr="007B07A0">
        <w:rPr>
          <w:rFonts w:asciiTheme="majorHAnsi" w:hAnsiTheme="majorHAnsi" w:cstheme="majorHAnsi"/>
          <w:color w:val="000000"/>
          <w:sz w:val="22"/>
          <w:szCs w:val="22"/>
        </w:rPr>
        <w:t>ir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 use of teleaudiology</w:t>
      </w:r>
      <w:r w:rsidRPr="007B07A0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during the early stages of COVID (from 41.3% before COVID to 61.9% by August 2020), 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with </w:t>
      </w:r>
      <w:r w:rsidR="00DE3AE6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practitioners 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predicting their use of telehealth to increase to 80.4%, specifically in relation to remote delivery of </w:t>
      </w:r>
      <w:r w:rsidR="00312E81" w:rsidRPr="007B07A0">
        <w:rPr>
          <w:rFonts w:asciiTheme="majorHAnsi" w:hAnsiTheme="majorHAnsi" w:cstheme="majorHAnsi"/>
          <w:color w:val="000000"/>
          <w:sz w:val="22"/>
          <w:szCs w:val="22"/>
        </w:rPr>
        <w:t>training</w:t>
      </w:r>
      <w:r w:rsidR="002A0DAA" w:rsidRPr="007B07A0">
        <w:rPr>
          <w:rFonts w:asciiTheme="majorHAnsi" w:hAnsiTheme="majorHAnsi" w:cstheme="majorHAnsi"/>
          <w:color w:val="000000"/>
          <w:sz w:val="22"/>
          <w:szCs w:val="22"/>
        </w:rPr>
        <w:t xml:space="preserve"> and support</w:t>
      </w:r>
      <w:r w:rsidR="00312E81" w:rsidRPr="007B07A0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5CDC030F" w14:textId="77777777" w:rsidR="003F2F15" w:rsidRPr="008E6691" w:rsidRDefault="003F2F15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6BCADC3" w14:textId="64C0A99D" w:rsidR="000E2D27" w:rsidRPr="008E6691" w:rsidRDefault="000E2D27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8E6691">
        <w:rPr>
          <w:rFonts w:asciiTheme="majorHAnsi" w:hAnsiTheme="majorHAnsi" w:cstheme="majorHAnsi"/>
          <w:color w:val="000000"/>
          <w:sz w:val="22"/>
          <w:szCs w:val="22"/>
        </w:rPr>
        <w:t>Client</w:t>
      </w:r>
      <w:r w:rsidR="00EC1D98">
        <w:rPr>
          <w:rFonts w:asciiTheme="majorHAnsi" w:hAnsiTheme="majorHAnsi" w:cstheme="majorHAnsi"/>
          <w:color w:val="000000"/>
          <w:sz w:val="22"/>
          <w:szCs w:val="22"/>
        </w:rPr>
        <w:t>-</w:t>
      </w:r>
      <w:r w:rsidR="00CE3125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practitioner</w:t>
      </w:r>
      <w:r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relationships have not suffered</w:t>
      </w:r>
      <w:r w:rsidR="002A0DAA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A94BDE">
        <w:rPr>
          <w:rFonts w:asciiTheme="majorHAnsi" w:hAnsiTheme="majorHAnsi" w:cstheme="majorHAnsi"/>
          <w:color w:val="000000"/>
          <w:sz w:val="22"/>
          <w:szCs w:val="22"/>
        </w:rPr>
        <w:t>One large national hearing provider</w:t>
      </w:r>
      <w:r w:rsidR="002A0DAA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observed a </w:t>
      </w:r>
      <w:r w:rsidR="00312E81" w:rsidRPr="008E6691">
        <w:rPr>
          <w:rFonts w:asciiTheme="majorHAnsi" w:hAnsiTheme="majorHAnsi" w:cstheme="majorHAnsi"/>
          <w:color w:val="000000"/>
          <w:sz w:val="22"/>
          <w:szCs w:val="22"/>
        </w:rPr>
        <w:t>40-fold</w:t>
      </w:r>
      <w:r w:rsidR="002A0DAA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increase in the number of clients taking up</w:t>
      </w:r>
      <w:r w:rsidR="00937F00">
        <w:rPr>
          <w:rFonts w:asciiTheme="majorHAnsi" w:hAnsiTheme="majorHAnsi" w:cstheme="majorHAnsi"/>
          <w:color w:val="000000"/>
          <w:sz w:val="22"/>
          <w:szCs w:val="22"/>
        </w:rPr>
        <w:t xml:space="preserve"> their</w:t>
      </w:r>
      <w:r w:rsidR="002A0DAA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remote hearing ai</w:t>
      </w:r>
      <w:r w:rsidR="00312E81" w:rsidRPr="008E6691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2A0DAA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B12488">
        <w:rPr>
          <w:rFonts w:asciiTheme="majorHAnsi" w:hAnsiTheme="majorHAnsi" w:cstheme="majorHAnsi"/>
          <w:color w:val="000000"/>
          <w:sz w:val="22"/>
          <w:szCs w:val="22"/>
        </w:rPr>
        <w:t>assistance</w:t>
      </w:r>
      <w:r w:rsidR="00B12488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A0DAA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in April to May 2020. </w:t>
      </w:r>
      <w:r w:rsidR="002C57B0">
        <w:rPr>
          <w:rFonts w:asciiTheme="majorHAnsi" w:hAnsiTheme="majorHAnsi" w:cstheme="majorHAnsi"/>
          <w:color w:val="000000"/>
          <w:sz w:val="22"/>
          <w:szCs w:val="22"/>
        </w:rPr>
        <w:t xml:space="preserve"> The remote assistance tool used included functions for both remote </w:t>
      </w:r>
      <w:r w:rsidR="00937F00">
        <w:rPr>
          <w:rFonts w:asciiTheme="majorHAnsi" w:hAnsiTheme="majorHAnsi" w:cstheme="majorHAnsi"/>
          <w:color w:val="000000"/>
          <w:sz w:val="22"/>
          <w:szCs w:val="22"/>
        </w:rPr>
        <w:t>h</w:t>
      </w:r>
      <w:r w:rsidR="002C57B0">
        <w:rPr>
          <w:rFonts w:asciiTheme="majorHAnsi" w:hAnsiTheme="majorHAnsi" w:cstheme="majorHAnsi"/>
          <w:color w:val="000000"/>
          <w:sz w:val="22"/>
          <w:szCs w:val="22"/>
        </w:rPr>
        <w:t xml:space="preserve">earing aid adjustments and an instant messaging function facilitating </w:t>
      </w:r>
      <w:r w:rsidR="00937F00">
        <w:rPr>
          <w:rFonts w:asciiTheme="majorHAnsi" w:hAnsiTheme="majorHAnsi" w:cstheme="majorHAnsi"/>
          <w:color w:val="000000"/>
          <w:sz w:val="22"/>
          <w:szCs w:val="22"/>
        </w:rPr>
        <w:t>communication</w:t>
      </w:r>
      <w:r w:rsidR="002C57B0">
        <w:rPr>
          <w:rFonts w:asciiTheme="majorHAnsi" w:hAnsiTheme="majorHAnsi" w:cstheme="majorHAnsi"/>
          <w:color w:val="000000"/>
          <w:sz w:val="22"/>
          <w:szCs w:val="22"/>
        </w:rPr>
        <w:t xml:space="preserve"> between hearing service staff and clients.</w:t>
      </w:r>
      <w:r w:rsidR="00937F00">
        <w:rPr>
          <w:rFonts w:asciiTheme="majorHAnsi" w:hAnsiTheme="majorHAnsi" w:cstheme="majorHAnsi"/>
          <w:color w:val="000000"/>
          <w:sz w:val="22"/>
          <w:szCs w:val="22"/>
        </w:rPr>
        <w:t xml:space="preserve"> Messages sent and received using this instant messaging function were conversational in tone, with </w:t>
      </w:r>
      <w:r w:rsidR="000D764E">
        <w:rPr>
          <w:rFonts w:asciiTheme="majorHAnsi" w:hAnsiTheme="majorHAnsi" w:cstheme="majorHAnsi"/>
          <w:color w:val="000000"/>
          <w:sz w:val="22"/>
          <w:szCs w:val="22"/>
        </w:rPr>
        <w:t>clients</w:t>
      </w:r>
      <w:r w:rsidR="00937F00">
        <w:rPr>
          <w:rFonts w:asciiTheme="majorHAnsi" w:hAnsiTheme="majorHAnsi" w:cstheme="majorHAnsi"/>
          <w:color w:val="000000"/>
          <w:sz w:val="22"/>
          <w:szCs w:val="22"/>
        </w:rPr>
        <w:t xml:space="preserve"> checking in on how their audiologist was doing, making jokes, and freely using slang and emojis. These findings suggest that remote assistance tools do not negatively impact on the client-practitioner relationship, but rather provide an effective way for clients to access hearing healthcare in a wa</w:t>
      </w:r>
      <w:r w:rsidR="009E25A0">
        <w:rPr>
          <w:rFonts w:asciiTheme="majorHAnsi" w:hAnsiTheme="majorHAnsi" w:cstheme="majorHAnsi"/>
          <w:color w:val="000000"/>
          <w:sz w:val="22"/>
          <w:szCs w:val="22"/>
        </w:rPr>
        <w:t>y</w:t>
      </w:r>
      <w:r w:rsidR="00937F00">
        <w:rPr>
          <w:rFonts w:asciiTheme="majorHAnsi" w:hAnsiTheme="majorHAnsi" w:cstheme="majorHAnsi"/>
          <w:color w:val="000000"/>
          <w:sz w:val="22"/>
          <w:szCs w:val="22"/>
        </w:rPr>
        <w:t xml:space="preserve"> that strengthens the therapeutic relationship that they have built with their audiologist.</w:t>
      </w:r>
    </w:p>
    <w:p w14:paraId="4436366A" w14:textId="77777777" w:rsidR="003F2F15" w:rsidRPr="008E6691" w:rsidRDefault="003F2F15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E3460F7" w14:textId="0530F3BD" w:rsidR="003F2F15" w:rsidRDefault="006863D0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  <w:r w:rsidRPr="008E6691">
        <w:rPr>
          <w:rFonts w:asciiTheme="majorHAnsi" w:hAnsiTheme="majorHAnsi" w:cstheme="majorHAnsi"/>
          <w:color w:val="000000"/>
          <w:sz w:val="22"/>
          <w:szCs w:val="22"/>
        </w:rPr>
        <w:t>The positive outcomes of tele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>audiology</w:t>
      </w:r>
      <w:r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appear</w:t>
      </w:r>
      <w:r w:rsidR="000E2D27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consistent </w:t>
      </w:r>
      <w:r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across </w:t>
      </w:r>
      <w:r w:rsidR="000E2D27" w:rsidRPr="008E6691">
        <w:rPr>
          <w:rFonts w:asciiTheme="majorHAnsi" w:hAnsiTheme="majorHAnsi" w:cstheme="majorHAnsi"/>
          <w:color w:val="000000"/>
          <w:sz w:val="22"/>
          <w:szCs w:val="22"/>
        </w:rPr>
        <w:t>Australia</w:t>
      </w:r>
      <w:r w:rsidRPr="008E669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9E25A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The Australian 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>Government</w:t>
      </w:r>
      <w:r w:rsidR="00EC1D98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in partnership 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>with Audiology Australia</w:t>
      </w:r>
      <w:r w:rsidR="008E0226">
        <w:rPr>
          <w:rFonts w:asciiTheme="majorHAnsi" w:hAnsiTheme="majorHAnsi" w:cstheme="majorHAnsi"/>
          <w:color w:val="000000"/>
          <w:sz w:val="22"/>
          <w:szCs w:val="22"/>
        </w:rPr>
        <w:t>, the Australian College of Audiology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and Soundfair, funded </w:t>
      </w:r>
      <w:r w:rsidR="00DA07CA">
        <w:rPr>
          <w:rFonts w:asciiTheme="majorHAnsi" w:hAnsiTheme="majorHAnsi" w:cstheme="majorHAnsi"/>
          <w:color w:val="000000"/>
          <w:sz w:val="22"/>
          <w:szCs w:val="22"/>
        </w:rPr>
        <w:t>research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>to understand the use of tele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>audiology</w:t>
      </w:r>
      <w:r w:rsidR="00EC1D98">
        <w:rPr>
          <w:rFonts w:asciiTheme="majorHAnsi" w:hAnsiTheme="majorHAnsi" w:cstheme="majorHAnsi"/>
          <w:color w:val="000000"/>
          <w:sz w:val="22"/>
          <w:szCs w:val="22"/>
        </w:rPr>
        <w:t xml:space="preserve">.  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>One of the key findings show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s 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>that tele</w:t>
      </w:r>
      <w:r w:rsidR="003F2F15" w:rsidRPr="008E6691">
        <w:rPr>
          <w:rFonts w:asciiTheme="majorHAnsi" w:hAnsiTheme="majorHAnsi" w:cstheme="majorHAnsi"/>
          <w:color w:val="000000"/>
          <w:sz w:val="22"/>
          <w:szCs w:val="22"/>
        </w:rPr>
        <w:t>audiology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 xml:space="preserve"> services were generally viewed as successful</w:t>
      </w:r>
      <w:r w:rsidR="008E0226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>and result in improved client outcomes</w:t>
      </w:r>
      <w:r w:rsidR="00B42681">
        <w:rPr>
          <w:rStyle w:val="FootnoteReference"/>
          <w:rFonts w:asciiTheme="majorHAnsi" w:hAnsiTheme="majorHAnsi" w:cstheme="majorHAnsi"/>
          <w:color w:val="000000"/>
          <w:sz w:val="22"/>
          <w:szCs w:val="22"/>
        </w:rPr>
        <w:footnoteReference w:id="3"/>
      </w:r>
      <w:r w:rsidR="002B5C5C" w:rsidRPr="008E669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2033B9A" w14:textId="60029CB5" w:rsidR="000D764E" w:rsidRDefault="000D764E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5F42C895" w14:textId="2015ED7F" w:rsidR="000D764E" w:rsidRDefault="000D764E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444F429" w14:textId="64578642" w:rsidR="000D764E" w:rsidRDefault="000D764E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0CC6891E" w14:textId="3786F008" w:rsidR="000D764E" w:rsidRDefault="000D764E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EB33C38" w14:textId="77777777" w:rsidR="000D764E" w:rsidRPr="008E6691" w:rsidRDefault="000D764E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1BFFD1BA" w14:textId="77777777" w:rsidR="007565C8" w:rsidRDefault="007565C8" w:rsidP="008E6691">
      <w:pPr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2FCCACE4" w14:textId="5B7624A0" w:rsidR="0075545C" w:rsidRPr="008E6691" w:rsidRDefault="00DA07CA" w:rsidP="008E6691">
      <w:pPr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Developing teleaudiology guidelines</w:t>
      </w:r>
    </w:p>
    <w:p w14:paraId="17FD497E" w14:textId="36C368FC" w:rsidR="009D2F11" w:rsidRDefault="007026FE" w:rsidP="008E6691">
      <w:pPr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  <w:r w:rsidRPr="007026FE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Funded by the Australian Government, the 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teleaudiology guidelines </w:t>
      </w:r>
      <w:r w:rsidRPr="007026FE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project responds to recommendations of the Hearing Health Roadmap (2019) and Parliamentary inquiries which suggested teleaudiology could improve access to hearing health services, regardless of location.</w:t>
      </w:r>
    </w:p>
    <w:p w14:paraId="75F746CD" w14:textId="77777777" w:rsidR="009D2F11" w:rsidRDefault="009D2F11" w:rsidP="008E6691">
      <w:pPr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</w:p>
    <w:p w14:paraId="5D71E082" w14:textId="15815E0C" w:rsidR="009D2F11" w:rsidRDefault="007026FE" w:rsidP="008E6691">
      <w:pPr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Audiology Australia consulted the hearing health sector about its initial draft guidelines </w:t>
      </w:r>
      <w:r w:rsidR="00DA07CA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in mid 2021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. </w:t>
      </w:r>
    </w:p>
    <w:p w14:paraId="7AF02638" w14:textId="77777777" w:rsidR="00A1008C" w:rsidRDefault="00A1008C" w:rsidP="008E6691">
      <w:pPr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</w:p>
    <w:p w14:paraId="193D85A3" w14:textId="4D1A1DF7" w:rsidR="00B37EA3" w:rsidRDefault="00B37EA3" w:rsidP="008E6691">
      <w:pPr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Key findings from consultation feedback highlighted the: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br/>
        <w:t>• value of framing a pro-active role for the practitioner with a strong emphasis on client-centred care and the exercise of professional judgment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br/>
        <w:t xml:space="preserve">• importance of acknowledging teleaudiology </w:t>
      </w:r>
      <w:r w:rsidR="00EB508A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as 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a service delivery option for providers,</w:t>
      </w:r>
      <w:r w:rsidR="0075545C"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 </w:t>
      </w:r>
      <w:r w:rsidR="00A73F87"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practitioners,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 and clients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br/>
        <w:t>• benefit of keeping guidelines broad to allow room for service and technology innovation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br/>
        <w:t>• need to complement, not duplicate, guidance available elsewhere</w:t>
      </w:r>
      <w:r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br/>
        <w:t>• value of providing resources to support and facilitate implementation</w:t>
      </w:r>
      <w:r w:rsidR="008E0226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.</w:t>
      </w:r>
    </w:p>
    <w:p w14:paraId="1E8F868A" w14:textId="77777777" w:rsidR="009D2F11" w:rsidRPr="008E6691" w:rsidRDefault="009D2F11" w:rsidP="008E6691">
      <w:pPr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</w:p>
    <w:p w14:paraId="6680D2A4" w14:textId="467229BF" w:rsidR="004F43B3" w:rsidRPr="008E6691" w:rsidRDefault="004F43B3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n-GB"/>
        </w:rPr>
      </w:pPr>
      <w:r w:rsidRPr="008E6691"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n-GB"/>
        </w:rPr>
        <w:t>Informing the guidelines</w:t>
      </w:r>
    </w:p>
    <w:p w14:paraId="1667F9E2" w14:textId="0CBC8203" w:rsidR="00A36907" w:rsidRPr="008E6691" w:rsidRDefault="00260E0E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We know s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ome </w:t>
      </w:r>
      <w:r w:rsidR="00DA07CA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practitioners</w:t>
      </w:r>
      <w:r w:rsidR="00DA07CA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are already delivering teleaudiology services and so will use the guidelines </w:t>
      </w:r>
      <w:proofErr w:type="gramStart"/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as a way </w:t>
      </w:r>
      <w:r w:rsidR="00B4268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to</w:t>
      </w:r>
      <w:proofErr w:type="gramEnd"/>
      <w:r w:rsidR="00B42681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check their current service delivery processes.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Others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want more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information</w:t>
      </w:r>
      <w:r w:rsidR="001D3E53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on how to get started</w:t>
      </w:r>
      <w:r w:rsidR="007026F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and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how to set up a tele</w:t>
      </w:r>
      <w:r w:rsidR="007026F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audiology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clinic.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To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address the needs of both groups, we have streamlined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the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guidelines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to</w:t>
      </w:r>
      <w:r w:rsidR="001D3E53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enable fast and efficient searching of information </w:t>
      </w:r>
      <w:r w:rsidR="007B7EAB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and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a resource kit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with</w:t>
      </w:r>
      <w:r w:rsidR="001D3E53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links to external resources</w:t>
      </w:r>
      <w:r w:rsidR="00EB508A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. This will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assist 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practitioners and providers with little teleaudiology experience </w:t>
      </w:r>
      <w:r w:rsidR="00193FB9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to </w:t>
      </w:r>
      <w:r w:rsidR="00193FB9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set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up teleaudiology services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and/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or develop the skills required to safely and effectively deliver tele</w:t>
      </w:r>
      <w:r w:rsidR="001D3E53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audiology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services.</w:t>
      </w:r>
    </w:p>
    <w:p w14:paraId="2DEA1EDB" w14:textId="77777777" w:rsidR="00A36907" w:rsidRPr="008E6691" w:rsidRDefault="00A36907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</w:p>
    <w:p w14:paraId="19AD931C" w14:textId="06EC0C3E" w:rsidR="00A36907" w:rsidRPr="008E6691" w:rsidRDefault="001D3E53" w:rsidP="008E6691">
      <w:pPr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In other words, the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guidelines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will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provide the WHAT and the resource kit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will </w:t>
      </w:r>
      <w:r w:rsidR="0079705C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support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the HOW.</w:t>
      </w:r>
    </w:p>
    <w:p w14:paraId="616264AD" w14:textId="77777777" w:rsidR="00333114" w:rsidRDefault="00333114" w:rsidP="008E6691">
      <w:pPr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</w:p>
    <w:p w14:paraId="36CE00F5" w14:textId="36D474DF" w:rsidR="00A36907" w:rsidRPr="008E6691" w:rsidRDefault="001D3E53" w:rsidP="008E6691">
      <w:pPr>
        <w:spacing w:after="0"/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</w:pP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W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e learned</w:t>
      </w:r>
      <w:r w:rsidR="00260E0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from </w:t>
      </w:r>
      <w:r w:rsidR="00D5770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our </w:t>
      </w:r>
      <w:r w:rsidR="00260E0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consultation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that </w:t>
      </w:r>
      <w:r w:rsidR="00D5770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c</w:t>
      </w:r>
      <w:r w:rsidR="00EB508A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lients</w:t>
      </w:r>
      <w:r w:rsidR="00D5770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want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info</w:t>
      </w:r>
      <w:r w:rsidR="007026FE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rmation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about teleaudiology </w:t>
      </w:r>
      <w:r w:rsidR="00D5770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and reassurance about the safety and quality of services provided remotely.  Exercising choice is important for c</w:t>
      </w:r>
      <w:r w:rsidR="00EB508A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lients</w:t>
      </w:r>
      <w:r w:rsidR="00D5770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.  To help address these needs, we are developing a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consumer </w:t>
      </w:r>
      <w:r w:rsidR="00D57706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teleaudiology </w:t>
      </w:r>
      <w:r w:rsidR="00A36907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resource.</w:t>
      </w:r>
    </w:p>
    <w:p w14:paraId="71E86732" w14:textId="77777777" w:rsidR="00A36907" w:rsidRPr="008E6691" w:rsidRDefault="00A36907" w:rsidP="008E6691">
      <w:pPr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7DDC70C1" w14:textId="1E4CC9F4" w:rsidR="009C1008" w:rsidRPr="008E6691" w:rsidRDefault="009C1008" w:rsidP="008E6691">
      <w:pPr>
        <w:spacing w:after="0"/>
        <w:rPr>
          <w:rFonts w:asciiTheme="majorHAnsi" w:hAnsiTheme="majorHAnsi" w:cstheme="majorHAnsi"/>
          <w:b/>
          <w:bCs/>
          <w:sz w:val="22"/>
          <w:szCs w:val="22"/>
        </w:rPr>
      </w:pPr>
      <w:r w:rsidRPr="008E6691">
        <w:rPr>
          <w:rFonts w:asciiTheme="majorHAnsi" w:hAnsiTheme="majorHAnsi" w:cstheme="majorHAnsi"/>
          <w:b/>
          <w:bCs/>
          <w:sz w:val="22"/>
          <w:szCs w:val="22"/>
        </w:rPr>
        <w:t>The testing phase builds</w:t>
      </w:r>
      <w:r w:rsidR="004F43B3" w:rsidRPr="008E669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8E6691">
        <w:rPr>
          <w:rFonts w:asciiTheme="majorHAnsi" w:hAnsiTheme="majorHAnsi" w:cstheme="majorHAnsi"/>
          <w:b/>
          <w:bCs/>
          <w:sz w:val="22"/>
          <w:szCs w:val="22"/>
        </w:rPr>
        <w:t>on the consultation phase and is critical to successful implementation</w:t>
      </w:r>
    </w:p>
    <w:p w14:paraId="6A9F62E9" w14:textId="5C3D264B" w:rsidR="00A36907" w:rsidRDefault="00A36907" w:rsidP="008E669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</w:pP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While we have a diverse group of teleaudiology experts developing the guidelines, it is important to partner with </w:t>
      </w:r>
      <w:r w:rsidR="00B4268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>practitioners</w:t>
      </w:r>
      <w:r w:rsidR="00B42681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in testing of the guidelines. </w:t>
      </w:r>
      <w:r w:rsidR="008E6691" w:rsidRPr="008E6691">
        <w:rPr>
          <w:rFonts w:asciiTheme="majorHAnsi" w:eastAsiaTheme="minorHAnsi" w:hAnsiTheme="majorHAnsi" w:cstheme="majorHAnsi"/>
          <w:color w:val="000000"/>
          <w:sz w:val="22"/>
          <w:szCs w:val="22"/>
          <w:lang w:val="en-GB"/>
        </w:rPr>
        <w:t xml:space="preserve"> </w:t>
      </w:r>
      <w:r w:rsidR="008E6691" w:rsidRPr="0085677B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The</w:t>
      </w:r>
      <w:r w:rsidR="008E6691"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 </w:t>
      </w:r>
      <w:r w:rsidR="0042198A" w:rsidRPr="0042198A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testing process</w:t>
      </w:r>
      <w:r w:rsidR="008E6691" w:rsidRPr="0085677B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 explor</w:t>
      </w:r>
      <w:r w:rsidR="008E0226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es</w:t>
      </w:r>
      <w:r w:rsidR="008E6691" w:rsidRPr="0085677B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 the useability and clarity of the revised draft guidelines and </w:t>
      </w:r>
      <w:r w:rsidR="00805186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inform</w:t>
      </w:r>
      <w:r w:rsidR="008E0226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s</w:t>
      </w:r>
      <w:r w:rsidR="00805186"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 xml:space="preserve"> </w:t>
      </w:r>
      <w:r w:rsidR="008E6691" w:rsidRPr="0085677B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resources to support the implementation process from mid 2022</w:t>
      </w:r>
      <w:r w:rsidR="008E6691" w:rsidRPr="008E6691">
        <w:rPr>
          <w:rFonts w:asciiTheme="majorHAnsi" w:eastAsia="Times New Roman" w:hAnsiTheme="majorHAnsi" w:cstheme="majorHAnsi"/>
          <w:sz w:val="22"/>
          <w:szCs w:val="22"/>
          <w:lang w:val="en-AU" w:eastAsia="en-GB"/>
        </w:rPr>
        <w:t>.</w:t>
      </w:r>
    </w:p>
    <w:p w14:paraId="7BA1AE23" w14:textId="77777777" w:rsidR="00260E0E" w:rsidRPr="008E6691" w:rsidRDefault="00260E0E" w:rsidP="008E6691">
      <w:pPr>
        <w:spacing w:after="0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1DB0857" w14:textId="18912526" w:rsidR="00260E0E" w:rsidRPr="008E6691" w:rsidRDefault="00260E0E" w:rsidP="008E669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8E6691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The Future</w:t>
      </w:r>
    </w:p>
    <w:p w14:paraId="2E741604" w14:textId="75B21BF7" w:rsidR="00DB13BF" w:rsidRPr="008E6691" w:rsidRDefault="00260E0E" w:rsidP="008E6691">
      <w:pPr>
        <w:spacing w:after="0"/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AU" w:eastAsia="en-GB"/>
        </w:rPr>
      </w:pPr>
      <w:r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>Many</w:t>
      </w:r>
      <w:r w:rsidR="00DB13BF"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people across Australia seek no support for their hearing difficulties</w:t>
      </w:r>
      <w:r w:rsidR="0080518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due to limited access</w:t>
      </w:r>
      <w:r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>. T</w:t>
      </w:r>
      <w:r w:rsidR="00DB13BF"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eleaudiology </w:t>
      </w:r>
      <w:r w:rsidR="003C26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offers a viable option for </w:t>
      </w:r>
      <w:r w:rsidR="00DB13BF"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improving </w:t>
      </w:r>
      <w:r w:rsidR="003C2631">
        <w:rPr>
          <w:rFonts w:asciiTheme="majorHAnsi" w:hAnsiTheme="majorHAnsi" w:cstheme="majorHAnsi"/>
          <w:color w:val="000000" w:themeColor="text1"/>
          <w:sz w:val="22"/>
          <w:szCs w:val="22"/>
        </w:rPr>
        <w:t>access</w:t>
      </w:r>
      <w:r w:rsidR="003C2631"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DB13BF"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>to and earl</w:t>
      </w:r>
      <w:r w:rsidR="003C2631">
        <w:rPr>
          <w:rFonts w:asciiTheme="majorHAnsi" w:hAnsiTheme="majorHAnsi" w:cstheme="majorHAnsi"/>
          <w:color w:val="000000" w:themeColor="text1"/>
          <w:sz w:val="22"/>
          <w:szCs w:val="22"/>
        </w:rPr>
        <w:t>ier</w:t>
      </w:r>
      <w:r w:rsidR="00DB13BF" w:rsidRPr="008E669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8E02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intervention </w:t>
      </w:r>
      <w:r w:rsidR="00B4268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</w:t>
      </w:r>
      <w:r w:rsidR="003C263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hearing loss and hearing disorders.  </w:t>
      </w:r>
    </w:p>
    <w:p w14:paraId="5D4BE600" w14:textId="77777777" w:rsidR="004F43B3" w:rsidRPr="008E6691" w:rsidRDefault="004F43B3" w:rsidP="008E6691">
      <w:pPr>
        <w:spacing w:after="0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1FE6C7C8" w14:textId="4CE7CE49" w:rsidR="008A017F" w:rsidRPr="008E6691" w:rsidRDefault="003C2631" w:rsidP="008E6691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  <w:r w:rsidRPr="008E669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AU" w:eastAsia="en-GB"/>
        </w:rPr>
        <w:t xml:space="preserve">Whether you use teleaudiology or not, we want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AU" w:eastAsia="en-GB"/>
        </w:rPr>
        <w:t>practitioners</w:t>
      </w:r>
      <w:r w:rsidRPr="008E669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AU" w:eastAsia="en-GB"/>
        </w:rPr>
        <w:t xml:space="preserve"> to get involved in testing the </w:t>
      </w:r>
      <w: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AU" w:eastAsia="en-GB"/>
        </w:rPr>
        <w:t>draft</w:t>
      </w:r>
      <w:r w:rsidRPr="008E6691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AU" w:eastAsia="en-GB"/>
        </w:rPr>
        <w:t xml:space="preserve"> guidelines. </w:t>
      </w:r>
      <w:r w:rsidR="008A017F" w:rsidRPr="008E6691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  <w:t xml:space="preserve">Read the 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  <w:t>current</w:t>
      </w:r>
      <w:r w:rsidRPr="008E6691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hyperlink r:id="rId9" w:history="1">
        <w:r w:rsidR="00B453E9" w:rsidRPr="00B453E9">
          <w:rPr>
            <w:rStyle w:val="Hyperlink"/>
            <w:rFonts w:asciiTheme="majorHAnsi" w:eastAsiaTheme="minorHAnsi" w:hAnsiTheme="majorHAnsi" w:cstheme="majorHAnsi"/>
            <w:sz w:val="22"/>
            <w:szCs w:val="22"/>
            <w:lang w:val="en-GB"/>
          </w:rPr>
          <w:t>draft guidelines</w:t>
        </w:r>
      </w:hyperlink>
      <w:r w:rsidR="008A017F" w:rsidRPr="008E6691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  <w:t xml:space="preserve"> and</w:t>
      </w:r>
      <w:r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  <w:t xml:space="preserve"> find out</w:t>
      </w:r>
      <w:r w:rsidR="008A017F" w:rsidRPr="008E6691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  <w:t xml:space="preserve"> how to get involved in testing </w:t>
      </w:r>
      <w:r w:rsidR="008A017F" w:rsidRPr="008E6691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and help prepare audiology for the future. </w:t>
      </w:r>
      <w:hyperlink r:id="rId10" w:history="1">
        <w:r w:rsidR="008A017F" w:rsidRPr="008E6691">
          <w:rPr>
            <w:rStyle w:val="Hyperlink"/>
            <w:rFonts w:asciiTheme="majorHAnsi" w:eastAsiaTheme="minorHAnsi" w:hAnsiTheme="majorHAnsi" w:cstheme="majorHAnsi"/>
            <w:color w:val="000000" w:themeColor="text1"/>
            <w:sz w:val="22"/>
            <w:szCs w:val="22"/>
            <w:lang w:val="en-GB"/>
          </w:rPr>
          <w:t>https://teleaudiologyguidelines.org.au/about-the-guidelines-project/</w:t>
        </w:r>
      </w:hyperlink>
    </w:p>
    <w:p w14:paraId="738B1374" w14:textId="77777777" w:rsidR="008A017F" w:rsidRPr="008E6691" w:rsidRDefault="008A017F" w:rsidP="008A017F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39763424" w14:textId="77777777" w:rsidR="008A017F" w:rsidRPr="005B48B4" w:rsidRDefault="008A017F" w:rsidP="008A017F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06BB0B3E" w14:textId="77777777" w:rsidR="008A017F" w:rsidRDefault="008A017F" w:rsidP="008A017F">
      <w:pPr>
        <w:spacing w:after="0"/>
        <w:rPr>
          <w:rStyle w:val="Hyperlink"/>
          <w:rFonts w:asciiTheme="majorHAnsi" w:eastAsiaTheme="minorHAnsi" w:hAnsiTheme="majorHAnsi" w:cstheme="majorHAnsi"/>
          <w:color w:val="000000" w:themeColor="text1"/>
          <w:sz w:val="22"/>
          <w:szCs w:val="22"/>
          <w:lang w:val="en-GB"/>
        </w:rPr>
      </w:pPr>
    </w:p>
    <w:p w14:paraId="5F459E50" w14:textId="409CFBBC" w:rsidR="00DA5C6E" w:rsidRDefault="00BA35DF" w:rsidP="00333114">
      <w:pPr>
        <w:spacing w:after="0"/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</w:pP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This opinion piece 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was first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published on Audiology Australia LinkedIn page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(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Audiology</w:t>
      </w:r>
      <w:r w:rsidR="000D764E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Australia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). It can also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be shared direct fro</w:t>
      </w:r>
      <w:r w:rsidR="00A13B55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m </w:t>
      </w:r>
      <w:hyperlink r:id="rId11" w:history="1">
        <w:r w:rsidR="00A13B55" w:rsidRPr="00DC61A6">
          <w:rPr>
            <w:rStyle w:val="Hyperlink"/>
            <w:rFonts w:ascii="Calibri" w:eastAsia="Times New Roman" w:hAnsi="Calibri" w:cs="Calibri"/>
            <w:i/>
            <w:iCs/>
            <w:sz w:val="22"/>
            <w:szCs w:val="22"/>
            <w:lang w:val="en-AU" w:eastAsia="en-GB"/>
          </w:rPr>
          <w:t>www.teleaudiologyguidelines.org.au</w:t>
        </w:r>
      </w:hyperlink>
      <w:r w:rsidR="00A13B55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 </w:t>
      </w:r>
      <w:r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via the share function</w:t>
      </w:r>
      <w:r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 xml:space="preserve">s on the </w:t>
      </w:r>
      <w:r w:rsidR="00312E81" w:rsidRPr="00163076"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  <w:t>page.</w:t>
      </w:r>
    </w:p>
    <w:p w14:paraId="54294E63" w14:textId="4FB0FD43" w:rsidR="00BA35DF" w:rsidRDefault="00BA35DF" w:rsidP="00333114">
      <w:pPr>
        <w:spacing w:after="0"/>
        <w:rPr>
          <w:rFonts w:ascii="Calibri" w:eastAsia="Times New Roman" w:hAnsi="Calibri" w:cs="Calibri"/>
          <w:i/>
          <w:iCs/>
          <w:color w:val="000000"/>
          <w:sz w:val="22"/>
          <w:szCs w:val="22"/>
          <w:lang w:val="en-AU" w:eastAsia="en-GB"/>
        </w:rPr>
      </w:pPr>
    </w:p>
    <w:p w14:paraId="53F0D040" w14:textId="7DFC5C9A" w:rsidR="00BA35DF" w:rsidRPr="00BA35DF" w:rsidRDefault="00BA35DF" w:rsidP="00333114">
      <w:pPr>
        <w:spacing w:after="0"/>
        <w:rPr>
          <w:rFonts w:ascii="Calibri" w:eastAsia="Times New Roman" w:hAnsi="Calibri" w:cs="Calibri"/>
          <w:color w:val="000000"/>
          <w:sz w:val="22"/>
          <w:szCs w:val="22"/>
          <w:lang w:val="en-AU" w:eastAsia="en-GB"/>
        </w:rPr>
      </w:pPr>
    </w:p>
    <w:sectPr w:rsidR="00BA35DF" w:rsidRPr="00BA35DF" w:rsidSect="009B7F45">
      <w:headerReference w:type="first" r:id="rId12"/>
      <w:pgSz w:w="11900" w:h="16820"/>
      <w:pgMar w:top="567" w:right="843" w:bottom="993" w:left="851" w:header="284" w:footer="42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2C17" w14:textId="77777777" w:rsidR="007C761B" w:rsidRDefault="007C761B">
      <w:pPr>
        <w:spacing w:after="0"/>
      </w:pPr>
      <w:r>
        <w:separator/>
      </w:r>
    </w:p>
  </w:endnote>
  <w:endnote w:type="continuationSeparator" w:id="0">
    <w:p w14:paraId="64CDC262" w14:textId="77777777" w:rsidR="007C761B" w:rsidRDefault="007C7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7F46C" w14:textId="77777777" w:rsidR="007C761B" w:rsidRDefault="007C761B">
      <w:pPr>
        <w:spacing w:after="0"/>
      </w:pPr>
      <w:r>
        <w:separator/>
      </w:r>
    </w:p>
  </w:footnote>
  <w:footnote w:type="continuationSeparator" w:id="0">
    <w:p w14:paraId="796FDDB2" w14:textId="77777777" w:rsidR="007C761B" w:rsidRDefault="007C761B">
      <w:pPr>
        <w:spacing w:after="0"/>
      </w:pPr>
      <w:r>
        <w:continuationSeparator/>
      </w:r>
    </w:p>
  </w:footnote>
  <w:footnote w:id="1">
    <w:p w14:paraId="766966CA" w14:textId="1A3AB39F" w:rsidR="000F4E30" w:rsidRPr="007565C8" w:rsidRDefault="000F4E30" w:rsidP="000D764E">
      <w:pPr>
        <w:pStyle w:val="NormalWeb"/>
        <w:spacing w:before="0" w:beforeAutospacing="0" w:after="0" w:afterAutospacing="0"/>
        <w:rPr>
          <w:rFonts w:asciiTheme="majorHAnsi" w:eastAsia="Times New Roman" w:hAnsiTheme="majorHAnsi" w:cstheme="majorHAnsi"/>
          <w:i/>
          <w:iCs/>
          <w:sz w:val="18"/>
          <w:szCs w:val="18"/>
          <w:lang w:eastAsia="en-GB"/>
        </w:rPr>
      </w:pPr>
      <w:r w:rsidRPr="007565C8">
        <w:rPr>
          <w:rStyle w:val="FootnoteReference"/>
          <w:rFonts w:asciiTheme="majorHAnsi" w:hAnsiTheme="majorHAnsi" w:cstheme="majorHAnsi"/>
          <w:i/>
          <w:iCs/>
          <w:sz w:val="18"/>
          <w:szCs w:val="18"/>
        </w:rPr>
        <w:footnoteRef/>
      </w:r>
      <w:r w:rsidRPr="007565C8">
        <w:rPr>
          <w:rFonts w:asciiTheme="majorHAnsi" w:hAnsiTheme="majorHAnsi" w:cstheme="majorHAnsi"/>
          <w:i/>
          <w:iCs/>
          <w:sz w:val="18"/>
          <w:szCs w:val="18"/>
        </w:rPr>
        <w:t xml:space="preserve"> </w:t>
      </w:r>
      <w:r w:rsidR="007B7EAB" w:rsidRPr="007565C8">
        <w:rPr>
          <w:rFonts w:asciiTheme="majorHAnsi" w:hAnsiTheme="majorHAnsi" w:cstheme="majorHAnsi"/>
          <w:i/>
          <w:iCs/>
          <w:sz w:val="18"/>
          <w:szCs w:val="18"/>
        </w:rPr>
        <w:t>Audiology Now 86, The 2020 National Teleaudiology Survey</w:t>
      </w:r>
      <w:r w:rsidR="007B7EAB" w:rsidRPr="007565C8">
        <w:rPr>
          <w:rFonts w:asciiTheme="majorHAnsi" w:eastAsia="Times New Roman" w:hAnsiTheme="majorHAnsi" w:cstheme="majorHAnsi"/>
          <w:i/>
          <w:iCs/>
          <w:sz w:val="18"/>
          <w:szCs w:val="18"/>
          <w:lang w:eastAsia="en-GB"/>
        </w:rPr>
        <w:t>,</w:t>
      </w:r>
      <w:r w:rsidRPr="007565C8">
        <w:rPr>
          <w:rFonts w:asciiTheme="majorHAnsi" w:eastAsia="Times New Roman" w:hAnsiTheme="majorHAnsi" w:cstheme="majorHAnsi"/>
          <w:i/>
          <w:iCs/>
          <w:sz w:val="18"/>
          <w:szCs w:val="18"/>
          <w:lang w:eastAsia="en-GB"/>
        </w:rPr>
        <w:t xml:space="preserve"> ‘Utilisation, experiences and perceptions of teleaudiology services during the height of the COVID-19 pandemic’, (April to October 2020): an Australian perspective</w:t>
      </w:r>
      <w:r w:rsidR="007565C8" w:rsidRPr="007565C8">
        <w:rPr>
          <w:rFonts w:asciiTheme="majorHAnsi" w:eastAsia="Times New Roman" w:hAnsiTheme="majorHAnsi" w:cstheme="majorHAnsi"/>
          <w:i/>
          <w:iCs/>
          <w:sz w:val="18"/>
          <w:szCs w:val="18"/>
          <w:lang w:eastAsia="en-GB"/>
        </w:rPr>
        <w:t>, Dr Bec Bennett, Ear Sciences Institute Australia, Elissa Campbell, Audiology Australia.</w:t>
      </w:r>
    </w:p>
  </w:footnote>
  <w:footnote w:id="2">
    <w:p w14:paraId="6E4AA7D7" w14:textId="77777777" w:rsidR="006863D0" w:rsidRPr="008E6691" w:rsidRDefault="006863D0" w:rsidP="000D764E">
      <w:pPr>
        <w:pStyle w:val="FootnoteText"/>
        <w:rPr>
          <w:rFonts w:asciiTheme="majorHAnsi" w:hAnsiTheme="majorHAnsi" w:cstheme="majorHAnsi"/>
          <w:i/>
          <w:iCs/>
          <w:sz w:val="20"/>
          <w:szCs w:val="20"/>
          <w:lang w:val="en-AU"/>
        </w:rPr>
      </w:pPr>
      <w:r w:rsidRPr="007565C8">
        <w:rPr>
          <w:rStyle w:val="FootnoteReference"/>
          <w:rFonts w:asciiTheme="majorHAnsi" w:hAnsiTheme="majorHAnsi" w:cstheme="majorHAnsi"/>
          <w:i/>
          <w:iCs/>
          <w:sz w:val="18"/>
          <w:szCs w:val="18"/>
        </w:rPr>
        <w:footnoteRef/>
      </w:r>
      <w:r w:rsidRPr="007565C8">
        <w:rPr>
          <w:rFonts w:asciiTheme="majorHAnsi" w:hAnsiTheme="majorHAnsi" w:cstheme="majorHAnsi"/>
          <w:i/>
          <w:iCs/>
          <w:sz w:val="18"/>
          <w:szCs w:val="18"/>
        </w:rPr>
        <w:t xml:space="preserve"> Accord (October 2021), ‘The future of teleaudiology seems assured’, Dr Bec Bennett, Ear Science Institute Australia, Perth WA</w:t>
      </w:r>
    </w:p>
  </w:footnote>
  <w:footnote w:id="3">
    <w:p w14:paraId="507EB7FF" w14:textId="4BA894FB" w:rsidR="00B42681" w:rsidRDefault="00B42681" w:rsidP="000D764E">
      <w:pPr>
        <w:pStyle w:val="NormalWeb"/>
        <w:spacing w:before="0" w:beforeAutospacing="0" w:after="0" w:afterAutospacing="0"/>
      </w:pPr>
      <w:r w:rsidRPr="0046552D">
        <w:rPr>
          <w:rFonts w:asciiTheme="majorHAnsi" w:eastAsia="Times New Roman" w:hAnsiTheme="majorHAnsi" w:cstheme="majorHAnsi"/>
          <w:i/>
          <w:iCs/>
          <w:sz w:val="18"/>
          <w:szCs w:val="18"/>
          <w:lang w:eastAsia="en-GB"/>
        </w:rPr>
        <w:footnoteRef/>
      </w:r>
      <w:r w:rsidRPr="0046552D">
        <w:rPr>
          <w:rFonts w:asciiTheme="majorHAnsi" w:eastAsia="Times New Roman" w:hAnsiTheme="majorHAnsi" w:cstheme="majorHAnsi"/>
          <w:i/>
          <w:iCs/>
          <w:sz w:val="18"/>
          <w:szCs w:val="18"/>
          <w:lang w:eastAsia="en-GB"/>
        </w:rPr>
        <w:t xml:space="preserve"> In publication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AF7C" w14:textId="77777777" w:rsidR="0022586C" w:rsidRDefault="0022586C">
    <w:pPr>
      <w:pStyle w:val="Header"/>
    </w:pPr>
  </w:p>
  <w:p w14:paraId="39FA19CA" w14:textId="26CFE9D2" w:rsidR="0022586C" w:rsidRDefault="0022586C" w:rsidP="00470E4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C6D"/>
    <w:multiLevelType w:val="hybridMultilevel"/>
    <w:tmpl w:val="A51A6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72BD"/>
    <w:multiLevelType w:val="hybridMultilevel"/>
    <w:tmpl w:val="82EC157E"/>
    <w:lvl w:ilvl="0" w:tplc="70806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EEB"/>
    <w:multiLevelType w:val="hybridMultilevel"/>
    <w:tmpl w:val="AC68C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34487"/>
    <w:multiLevelType w:val="hybridMultilevel"/>
    <w:tmpl w:val="43A6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A2F5B"/>
    <w:multiLevelType w:val="hybridMultilevel"/>
    <w:tmpl w:val="FC4C7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25992"/>
    <w:multiLevelType w:val="multilevel"/>
    <w:tmpl w:val="1A36F0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A4EC0"/>
    <w:multiLevelType w:val="hybridMultilevel"/>
    <w:tmpl w:val="D9C2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A97"/>
    <w:multiLevelType w:val="hybridMultilevel"/>
    <w:tmpl w:val="7EC00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320E6"/>
    <w:multiLevelType w:val="hybridMultilevel"/>
    <w:tmpl w:val="85885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B1FDF"/>
    <w:multiLevelType w:val="hybridMultilevel"/>
    <w:tmpl w:val="BFCC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40737"/>
    <w:multiLevelType w:val="hybridMultilevel"/>
    <w:tmpl w:val="B80073F0"/>
    <w:lvl w:ilvl="0" w:tplc="2CBEEDC8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402AD1"/>
    <w:multiLevelType w:val="hybridMultilevel"/>
    <w:tmpl w:val="B5F2B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04ACD"/>
    <w:multiLevelType w:val="hybridMultilevel"/>
    <w:tmpl w:val="AB6E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43D93"/>
    <w:multiLevelType w:val="hybridMultilevel"/>
    <w:tmpl w:val="6F6C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6B83"/>
    <w:multiLevelType w:val="hybridMultilevel"/>
    <w:tmpl w:val="8A26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C0C5B"/>
    <w:multiLevelType w:val="hybridMultilevel"/>
    <w:tmpl w:val="6EDA0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C40E5"/>
    <w:multiLevelType w:val="hybridMultilevel"/>
    <w:tmpl w:val="51BA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D1C2F"/>
    <w:multiLevelType w:val="hybridMultilevel"/>
    <w:tmpl w:val="BA7A7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BE4968"/>
    <w:multiLevelType w:val="hybridMultilevel"/>
    <w:tmpl w:val="C0B67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C41408"/>
    <w:multiLevelType w:val="hybridMultilevel"/>
    <w:tmpl w:val="4D0AE618"/>
    <w:lvl w:ilvl="0" w:tplc="9B6E5D0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40C70"/>
    <w:multiLevelType w:val="hybridMultilevel"/>
    <w:tmpl w:val="CA9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0"/>
  </w:num>
  <w:num w:numId="9">
    <w:abstractNumId w:val="9"/>
  </w:num>
  <w:num w:numId="10">
    <w:abstractNumId w:val="12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5"/>
  </w:num>
  <w:num w:numId="16">
    <w:abstractNumId w:val="18"/>
  </w:num>
  <w:num w:numId="17">
    <w:abstractNumId w:val="2"/>
  </w:num>
  <w:num w:numId="18">
    <w:abstractNumId w:val="15"/>
  </w:num>
  <w:num w:numId="19">
    <w:abstractNumId w:val="19"/>
  </w:num>
  <w:num w:numId="20">
    <w:abstractNumId w:val="7"/>
  </w:num>
  <w:num w:numId="2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5C9"/>
    <w:rsid w:val="0000207A"/>
    <w:rsid w:val="0001457D"/>
    <w:rsid w:val="00034C16"/>
    <w:rsid w:val="000D764E"/>
    <w:rsid w:val="000D7DE9"/>
    <w:rsid w:val="000E19F2"/>
    <w:rsid w:val="000E2D27"/>
    <w:rsid w:val="000E7A42"/>
    <w:rsid w:val="000F4E30"/>
    <w:rsid w:val="001074FA"/>
    <w:rsid w:val="001157CC"/>
    <w:rsid w:val="00132A7F"/>
    <w:rsid w:val="0014537C"/>
    <w:rsid w:val="001478CC"/>
    <w:rsid w:val="001646F9"/>
    <w:rsid w:val="00170879"/>
    <w:rsid w:val="00171843"/>
    <w:rsid w:val="00193FB9"/>
    <w:rsid w:val="00194A89"/>
    <w:rsid w:val="001B00DA"/>
    <w:rsid w:val="001B05CD"/>
    <w:rsid w:val="001B332D"/>
    <w:rsid w:val="001B4542"/>
    <w:rsid w:val="001B57A7"/>
    <w:rsid w:val="001D3E53"/>
    <w:rsid w:val="001E19EF"/>
    <w:rsid w:val="001F1692"/>
    <w:rsid w:val="00202D65"/>
    <w:rsid w:val="00205285"/>
    <w:rsid w:val="0022586C"/>
    <w:rsid w:val="00237CCE"/>
    <w:rsid w:val="002427FC"/>
    <w:rsid w:val="00247E41"/>
    <w:rsid w:val="002505D8"/>
    <w:rsid w:val="00252CB3"/>
    <w:rsid w:val="00260E0E"/>
    <w:rsid w:val="0026218B"/>
    <w:rsid w:val="00271F23"/>
    <w:rsid w:val="00280C14"/>
    <w:rsid w:val="00286002"/>
    <w:rsid w:val="002A0DAA"/>
    <w:rsid w:val="002A7D6A"/>
    <w:rsid w:val="002B4B87"/>
    <w:rsid w:val="002B5C5C"/>
    <w:rsid w:val="002C57B0"/>
    <w:rsid w:val="002D6A29"/>
    <w:rsid w:val="002E15C9"/>
    <w:rsid w:val="003112FC"/>
    <w:rsid w:val="00312E81"/>
    <w:rsid w:val="003241DB"/>
    <w:rsid w:val="00327246"/>
    <w:rsid w:val="00333114"/>
    <w:rsid w:val="00352DE7"/>
    <w:rsid w:val="0037210B"/>
    <w:rsid w:val="00396255"/>
    <w:rsid w:val="003A5BEA"/>
    <w:rsid w:val="003B0AC8"/>
    <w:rsid w:val="003B22D9"/>
    <w:rsid w:val="003B7FBA"/>
    <w:rsid w:val="003C1307"/>
    <w:rsid w:val="003C2631"/>
    <w:rsid w:val="003E754C"/>
    <w:rsid w:val="003F2F15"/>
    <w:rsid w:val="003F393D"/>
    <w:rsid w:val="003F7E92"/>
    <w:rsid w:val="00407F2A"/>
    <w:rsid w:val="00416DEB"/>
    <w:rsid w:val="0042198A"/>
    <w:rsid w:val="00423653"/>
    <w:rsid w:val="00430373"/>
    <w:rsid w:val="00462EB6"/>
    <w:rsid w:val="0046552D"/>
    <w:rsid w:val="00470E4D"/>
    <w:rsid w:val="00476249"/>
    <w:rsid w:val="004921CF"/>
    <w:rsid w:val="004B01BE"/>
    <w:rsid w:val="004C260B"/>
    <w:rsid w:val="004E79A0"/>
    <w:rsid w:val="004F43B3"/>
    <w:rsid w:val="004F6AD9"/>
    <w:rsid w:val="005211AD"/>
    <w:rsid w:val="0052671E"/>
    <w:rsid w:val="005321B8"/>
    <w:rsid w:val="00532D18"/>
    <w:rsid w:val="0054516F"/>
    <w:rsid w:val="00547D7C"/>
    <w:rsid w:val="00560F74"/>
    <w:rsid w:val="0056538B"/>
    <w:rsid w:val="00565FD7"/>
    <w:rsid w:val="005734B9"/>
    <w:rsid w:val="00574ECA"/>
    <w:rsid w:val="005B48B4"/>
    <w:rsid w:val="005B64EE"/>
    <w:rsid w:val="005E47A9"/>
    <w:rsid w:val="005F37CB"/>
    <w:rsid w:val="005F3FEA"/>
    <w:rsid w:val="006038D9"/>
    <w:rsid w:val="00622A29"/>
    <w:rsid w:val="00643CF6"/>
    <w:rsid w:val="00646567"/>
    <w:rsid w:val="00655B0D"/>
    <w:rsid w:val="00656B41"/>
    <w:rsid w:val="0066469F"/>
    <w:rsid w:val="006860FD"/>
    <w:rsid w:val="006863D0"/>
    <w:rsid w:val="00697075"/>
    <w:rsid w:val="006A537B"/>
    <w:rsid w:val="006B7150"/>
    <w:rsid w:val="006C0ACE"/>
    <w:rsid w:val="006F74B7"/>
    <w:rsid w:val="007026FE"/>
    <w:rsid w:val="00713CDE"/>
    <w:rsid w:val="00716087"/>
    <w:rsid w:val="00737075"/>
    <w:rsid w:val="00743614"/>
    <w:rsid w:val="00745033"/>
    <w:rsid w:val="0075545C"/>
    <w:rsid w:val="007565C8"/>
    <w:rsid w:val="00756620"/>
    <w:rsid w:val="00767EE5"/>
    <w:rsid w:val="00770875"/>
    <w:rsid w:val="0079475A"/>
    <w:rsid w:val="0079705C"/>
    <w:rsid w:val="007B07A0"/>
    <w:rsid w:val="007B7EAB"/>
    <w:rsid w:val="007C520E"/>
    <w:rsid w:val="007C761B"/>
    <w:rsid w:val="007D5078"/>
    <w:rsid w:val="007F3F6C"/>
    <w:rsid w:val="007F5769"/>
    <w:rsid w:val="008046E5"/>
    <w:rsid w:val="00805186"/>
    <w:rsid w:val="00812B2B"/>
    <w:rsid w:val="00822D50"/>
    <w:rsid w:val="00841521"/>
    <w:rsid w:val="008431DF"/>
    <w:rsid w:val="0085677B"/>
    <w:rsid w:val="008721EE"/>
    <w:rsid w:val="00891D63"/>
    <w:rsid w:val="008A017F"/>
    <w:rsid w:val="008A1831"/>
    <w:rsid w:val="008A6CED"/>
    <w:rsid w:val="008B4DCC"/>
    <w:rsid w:val="008D158E"/>
    <w:rsid w:val="008E0226"/>
    <w:rsid w:val="008E6691"/>
    <w:rsid w:val="009025E1"/>
    <w:rsid w:val="00906398"/>
    <w:rsid w:val="00914A12"/>
    <w:rsid w:val="00925BF2"/>
    <w:rsid w:val="009322BC"/>
    <w:rsid w:val="00937AF1"/>
    <w:rsid w:val="00937F00"/>
    <w:rsid w:val="009538C2"/>
    <w:rsid w:val="00957D39"/>
    <w:rsid w:val="00970A49"/>
    <w:rsid w:val="00971466"/>
    <w:rsid w:val="009B50A6"/>
    <w:rsid w:val="009B7F45"/>
    <w:rsid w:val="009C1008"/>
    <w:rsid w:val="009C12C0"/>
    <w:rsid w:val="009D2F11"/>
    <w:rsid w:val="009E25A0"/>
    <w:rsid w:val="00A0183C"/>
    <w:rsid w:val="00A058F2"/>
    <w:rsid w:val="00A1008C"/>
    <w:rsid w:val="00A13B55"/>
    <w:rsid w:val="00A36907"/>
    <w:rsid w:val="00A63D74"/>
    <w:rsid w:val="00A73F87"/>
    <w:rsid w:val="00A85B8F"/>
    <w:rsid w:val="00A94BDE"/>
    <w:rsid w:val="00AA2103"/>
    <w:rsid w:val="00AA430A"/>
    <w:rsid w:val="00AD2654"/>
    <w:rsid w:val="00AD6046"/>
    <w:rsid w:val="00AF246E"/>
    <w:rsid w:val="00B12488"/>
    <w:rsid w:val="00B12CB8"/>
    <w:rsid w:val="00B13124"/>
    <w:rsid w:val="00B151EB"/>
    <w:rsid w:val="00B33248"/>
    <w:rsid w:val="00B37EA3"/>
    <w:rsid w:val="00B42681"/>
    <w:rsid w:val="00B453E9"/>
    <w:rsid w:val="00B60F5D"/>
    <w:rsid w:val="00B64057"/>
    <w:rsid w:val="00B728C1"/>
    <w:rsid w:val="00B74611"/>
    <w:rsid w:val="00B97D1D"/>
    <w:rsid w:val="00BA35DF"/>
    <w:rsid w:val="00BB2103"/>
    <w:rsid w:val="00BC4659"/>
    <w:rsid w:val="00BD499E"/>
    <w:rsid w:val="00BF03B7"/>
    <w:rsid w:val="00BF4D45"/>
    <w:rsid w:val="00C02ED6"/>
    <w:rsid w:val="00C16631"/>
    <w:rsid w:val="00C228E2"/>
    <w:rsid w:val="00C33F9B"/>
    <w:rsid w:val="00C35A13"/>
    <w:rsid w:val="00C36D9B"/>
    <w:rsid w:val="00C525FA"/>
    <w:rsid w:val="00C86364"/>
    <w:rsid w:val="00CA703F"/>
    <w:rsid w:val="00CB72C5"/>
    <w:rsid w:val="00CC4AD1"/>
    <w:rsid w:val="00CC7B7D"/>
    <w:rsid w:val="00CE3125"/>
    <w:rsid w:val="00CF190F"/>
    <w:rsid w:val="00D02395"/>
    <w:rsid w:val="00D046A4"/>
    <w:rsid w:val="00D2470B"/>
    <w:rsid w:val="00D25561"/>
    <w:rsid w:val="00D26BCC"/>
    <w:rsid w:val="00D57706"/>
    <w:rsid w:val="00D601FB"/>
    <w:rsid w:val="00D630DB"/>
    <w:rsid w:val="00D77389"/>
    <w:rsid w:val="00D77AA8"/>
    <w:rsid w:val="00D83612"/>
    <w:rsid w:val="00D872C2"/>
    <w:rsid w:val="00D91726"/>
    <w:rsid w:val="00DA07CA"/>
    <w:rsid w:val="00DA1FA4"/>
    <w:rsid w:val="00DA5C6E"/>
    <w:rsid w:val="00DB13BF"/>
    <w:rsid w:val="00DC09E4"/>
    <w:rsid w:val="00DC4E42"/>
    <w:rsid w:val="00DE3AE6"/>
    <w:rsid w:val="00DF4596"/>
    <w:rsid w:val="00E04430"/>
    <w:rsid w:val="00E4227C"/>
    <w:rsid w:val="00E46776"/>
    <w:rsid w:val="00E541E3"/>
    <w:rsid w:val="00E71266"/>
    <w:rsid w:val="00E7163F"/>
    <w:rsid w:val="00E73124"/>
    <w:rsid w:val="00E75915"/>
    <w:rsid w:val="00E858FB"/>
    <w:rsid w:val="00E92EC6"/>
    <w:rsid w:val="00E95E86"/>
    <w:rsid w:val="00EB508A"/>
    <w:rsid w:val="00EC0E15"/>
    <w:rsid w:val="00EC1D98"/>
    <w:rsid w:val="00EC2726"/>
    <w:rsid w:val="00EE7E6C"/>
    <w:rsid w:val="00EF64EC"/>
    <w:rsid w:val="00F11875"/>
    <w:rsid w:val="00F40A5B"/>
    <w:rsid w:val="00F56204"/>
    <w:rsid w:val="00F84B76"/>
    <w:rsid w:val="00F951EF"/>
    <w:rsid w:val="00FA277E"/>
    <w:rsid w:val="00FC465D"/>
    <w:rsid w:val="00FC5013"/>
    <w:rsid w:val="00FE3E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EE9FC4"/>
  <w15:docId w15:val="{862BD483-D93A-3F4A-A8DC-773FF5D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2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15C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15C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15C9"/>
  </w:style>
  <w:style w:type="paragraph" w:styleId="Footer">
    <w:name w:val="footer"/>
    <w:basedOn w:val="Normal"/>
    <w:link w:val="FooterChar"/>
    <w:uiPriority w:val="99"/>
    <w:unhideWhenUsed/>
    <w:rsid w:val="002E15C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15C9"/>
  </w:style>
  <w:style w:type="paragraph" w:styleId="BalloonText">
    <w:name w:val="Balloon Text"/>
    <w:basedOn w:val="Normal"/>
    <w:link w:val="BalloonTextChar"/>
    <w:uiPriority w:val="99"/>
    <w:semiHidden/>
    <w:unhideWhenUsed/>
    <w:rsid w:val="00D023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0F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596"/>
    <w:pPr>
      <w:spacing w:after="0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4596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F4596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DF45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45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2586C"/>
  </w:style>
  <w:style w:type="character" w:customStyle="1" w:styleId="CommentTextChar">
    <w:name w:val="Comment Text Char"/>
    <w:basedOn w:val="DefaultParagraphFont"/>
    <w:link w:val="CommentText"/>
    <w:uiPriority w:val="99"/>
    <w:rsid w:val="00225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86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759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A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858F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unhideWhenUsed/>
    <w:rsid w:val="00E858FB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858F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Strong">
    <w:name w:val="Strong"/>
    <w:basedOn w:val="DefaultParagraphFont"/>
    <w:uiPriority w:val="22"/>
    <w:qFormat/>
    <w:rsid w:val="00F40A5B"/>
    <w:rPr>
      <w:b/>
      <w:bCs/>
    </w:rPr>
  </w:style>
  <w:style w:type="paragraph" w:styleId="Revision">
    <w:name w:val="Revision"/>
    <w:hidden/>
    <w:uiPriority w:val="99"/>
    <w:semiHidden/>
    <w:rsid w:val="00F951EF"/>
    <w:pPr>
      <w:spacing w:after="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9714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5677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B07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13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audiologyguidelines.org.au/about-the-guidelines-projec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audiologyguidelines.org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teleaudiologyguidelines.org.au/about-the-guidelines-proj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audiologyguidelines.org.au/draft-guid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8D45001DFC040B395C2B6A1CC0952" ma:contentTypeVersion="13" ma:contentTypeDescription="Create a new document." ma:contentTypeScope="" ma:versionID="2a87b6adac845aa3d5ecf8c7ceda8fba">
  <xsd:schema xmlns:xsd="http://www.w3.org/2001/XMLSchema" xmlns:xs="http://www.w3.org/2001/XMLSchema" xmlns:p="http://schemas.microsoft.com/office/2006/metadata/properties" xmlns:ns2="95af8939-a9b7-4fad-9f62-df8e81ff9f0f" xmlns:ns3="03365443-4fa3-4360-8297-c1516292b7a7" targetNamespace="http://schemas.microsoft.com/office/2006/metadata/properties" ma:root="true" ma:fieldsID="688de65d466bf6030c7ab60e3c85cbb1" ns2:_="" ns3:_="">
    <xsd:import namespace="95af8939-a9b7-4fad-9f62-df8e81ff9f0f"/>
    <xsd:import namespace="03365443-4fa3-4360-8297-c1516292b7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939-a9b7-4fad-9f62-df8e81ff9f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5443-4fa3-4360-8297-c1516292b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D7311-928A-4EE6-84D7-6E37B5D3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16E765-A510-4DF5-AFDC-6575DC6D1700}"/>
</file>

<file path=customXml/itemProps3.xml><?xml version="1.0" encoding="utf-8"?>
<ds:datastoreItem xmlns:ds="http://schemas.openxmlformats.org/officeDocument/2006/customXml" ds:itemID="{0BD7D077-2059-4D28-B67A-D4F7E6847732}"/>
</file>

<file path=customXml/itemProps4.xml><?xml version="1.0" encoding="utf-8"?>
<ds:datastoreItem xmlns:ds="http://schemas.openxmlformats.org/officeDocument/2006/customXml" ds:itemID="{25FF2A12-DF3B-4808-AD66-6D16A10AE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cp:lastModifiedBy>Karen Barfoot</cp:lastModifiedBy>
  <cp:revision>2</cp:revision>
  <cp:lastPrinted>2018-09-03T06:25:00Z</cp:lastPrinted>
  <dcterms:created xsi:type="dcterms:W3CDTF">2022-03-11T00:47:00Z</dcterms:created>
  <dcterms:modified xsi:type="dcterms:W3CDTF">2022-03-11T00:47:00Z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0x0101001008D45001DFC040B395C2B6A1CC0952</vt:lpwstr>
  </property>
</Properties>
</file>